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Linear probability models: treatment effects on willingness to sign a petition in favour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161"/>
        <w:gridCol w:w="1821"/>
        <w:gridCol w:w="1681"/>
        <w:gridCol w:w="1611"/>
        <w:gridCol w:w="1481"/>
      </w:tblGrid>
      <w:tr>
        <w:trPr>
          <w:trHeight w:val="415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Dependent variable: would sign a petition in favour (0/1)</w:t>
            </w:r>
          </w:p>
        </w:tc>
      </w:tr>
      <w:tr>
        <w:trPr>
          <w:trHeight w:val="415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Biomass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Waste-to-energy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utilisation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pipelines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storage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0.378***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0.395***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0.554***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0.387***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0.328***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(0.043)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-0.000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(0.061)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699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-0.005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Coefficients are changes in the probability of signing in favour (in percentage points / 100). Respondents who are undecided are excluded. Treatments: short information texts on jobs, local economic growth, preservation of jobs and industries, energy security, or climate change. Reference category: control group (no information). Sample: NL; respondents with a valid answer on the respective outcome.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2026-10-29T11:09:13Z</dcterms:modified>
  <cp:category/>
</cp:coreProperties>
</file>