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Linear probability models: willingness to sign in favour, undecided respondents included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103"/>
        <w:gridCol w:w="1161"/>
        <w:gridCol w:w="1821"/>
        <w:gridCol w:w="1681"/>
        <w:gridCol w:w="1611"/>
        <w:gridCol w:w="1481"/>
      </w:tblGrid>
      <w:tr>
        <w:trPr>
          <w:trHeight w:val="415" w:hRule="auto"/>
          <w:tblHeader/>
        </w:trPr>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gridSpan w:val="5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Dependent variable: would sign a petition in favour (0/1)</w:t>
            </w:r>
          </w:p>
        </w:tc>
      </w:tr>
      <w:tr>
        <w:trPr>
          <w:trHeight w:val="415" w:hRule="auto"/>
          <w:tblHeader/>
        </w:trPr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Biomass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Waste-to-energy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CO2 utilisation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CO2 pipelines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CO2 storage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Constant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0.276***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0.288***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0.442***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0.282***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0.245***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(0.035)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(0.036)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(0.039)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(0.035)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(0.034)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Treatment Jobs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0.026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(0.050)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(0.052)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(0.055)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(0.048)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(0.049)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Treatment Local Economic Growth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-0.027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(0.050)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(0.051)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(0.055)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(0.049)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(0.047)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Treatment Preservation of Jobs and Industries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0.005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(0.048)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(0.049)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(0.055)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(0.048)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(0.048)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Treatment Energy Security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0.020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(0.051)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(0.052)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(0.055)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(0.049)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(0.049)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Treatment Climate Change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0.110**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-0.012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(0.050)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(0.050)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(0.055)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(0.050)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(0.047)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Num.Obs.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979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0.002</w:t>
            </w:r>
          </w:p>
        </w:tc>
      </w:tr>
      <w:tr>
        <w:trPr>
          <w:trHeight w:val="41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R2 Adj.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-0.003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* p &lt; 0.1, ** p &lt; 0.05, *** p &lt; 0.01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* p &lt; 0.1; ** p &lt; 0.05; *** p &lt; 0.01. Robust standard errors (HC2) in parentheses.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Notes: Robustness check: undecided respondents are kept and coded as not signing in favour. Treatments: short information texts on jobs, local economic growth, preservation of jobs and industries, energy security, or climate change. Reference category: control group (no information). Sample: NL; respondents with a valid answer on the respective outcome.</w:t>
            </w:r>
          </w:p>
        </w:tc>
      </w:tr>
    </w:tbl>
    <w:sectPr>
      <w:pgMar w:header="708" w:bottom="1417" w:top="1417" w:right="1417" w:left="1417" w:footer="708" w:gutter="0"/>
      <w:pgSz w:h="11906" w:w="16838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2026-10-29T11:09:19Z</dcterms:modified>
  <cp:category/>
</cp:coreProperties>
</file>