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OLS regression: treatment effects on support for CCUS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081"/>
        <w:gridCol w:w="1161"/>
        <w:gridCol w:w="1821"/>
        <w:gridCol w:w="1681"/>
        <w:gridCol w:w="1611"/>
        <w:gridCol w:w="148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6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support (1 = strongly oppose, 7 = strongly support)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General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Biomass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Waste-to-energy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utilisation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pipelines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storage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5.081***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4.695***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4.409***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5.265***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4.513***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4.086***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-0.278*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-0.353*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0.107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0.054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(0.201)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0.385**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0.082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(0.195)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-0.004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Support for CCUS in general and for five CCUS applications; "Don't know" answers are excluded. Treatments: short information texts on jobs, local economic growth, preservation of jobs and industries, energy security, or climate change. Reference category: control group (no information). Sample: NL;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2026-10-29T11:09:11Z</dcterms:modified>
  <cp:category/>
</cp:coreProperties>
</file>