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621"/>
        <w:gridCol w:w="1671"/>
        <w:gridCol w:w="1811"/>
        <w:gridCol w:w="1861"/>
      </w:tblGrid>
      <w:tr>
        <w:trPr>
          <w:trHeight w:val="43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 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4.903***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4.902***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-0.276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-0.275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(0.310)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(0.080)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0.333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0.313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Support index: mean of six support items (1 = strongly oppose, 7 = strongly support). Combined index: mean of three standardised scores (general support, application-specific support, application-specific petition signing), standardised with the control-group mean and SD; respondents with valid answers on all three dimensions. Reference category: Control. Controls: age group, gender, education, household income quartile, area type, prior knowledge of CCUS and climate concern (coefficients not shown).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2026-10-29T11:06:27Z</dcterms:modified>
  <cp:category/>
</cp:coreProperties>
</file>