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621"/>
        <w:gridCol w:w="1671"/>
        <w:gridCol w:w="1811"/>
        <w:gridCol w:w="186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 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4.903***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4.902***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(0.310)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0.333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index: mean of six support items (1 = strongly oppose, 7 = strongly support). Combined index: mean of three standardised scores (general support, application-specific support, application-specific petition signing), standardised with the control-group mean and SD; respondents with valid answers on all three dimensions. Reference category: Control. Controls: age group, gender, education, household income quartile, area type, prior knowledge of CCUS and climate concern (coefficients not shown). Stars for the treatment arms are based on p-values adjusted for multiple testing (Benjamini-Hochberg) within this table; "Any treatment" is a single test and not adjusted.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2026-10-29T11:06:28Z</dcterms:modified>
  <cp:category/>
</cp:coreProperties>
</file>