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Climate concern, political orientation and support for CCUS (OLS regression)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52"/>
        <w:gridCol w:w="1131"/>
        <w:gridCol w:w="1131"/>
        <w:gridCol w:w="1131"/>
        <w:gridCol w:w="113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support index (1 = strongly oppose, 7 = strongly support)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(2)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(3)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5.505***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5.501***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5.619***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5.069***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(0.378)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concern: Somewhat 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-0.415***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-0.397***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concern: Neither agree nor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-0.977***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-0.946***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concern: Somewhat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-1.738***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-1.744***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-1.692***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(0.232)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concern: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-2.172***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-2.136***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-2.078***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(0.413)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orientation: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orientation: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-0.673***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orientation: Other party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-0.249***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-0.203**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orientation: No party stated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-0.636***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-0.354***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-0.234**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Country fixed effects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Model (1) includes climate concern only; model (2) political orientation only; model (3) both climate concern and political orientation; model (4) additionally includes control variables. The support index is the mean of six support items (CCUS in general and five applications), at least four valid answers required; "don't know" answers are excluded. Climate concern: agreement that climate change is an important problem (reference: strongly agree). Political orientation: party blocs based on party preference (reference: left); "right" refers to populist-right parties, the mainstream centre-right is included in "centre"; "other party" and "no party stated" are included as separate categories. Controls in model (4), coefficients not shown: age group, gender, education, household income quartile, area type, prior knowledge of CCUS and treatment group. Sample: NO. The coefficients describe associations, not causal effects.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2026-10-29T11:06:30Z</dcterms:modified>
  <cp:category/>
</cp:coreProperties>
</file>