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OLS regression: treatment effects on expected consequences of CCUS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481"/>
        <w:gridCol w:w="1941"/>
        <w:gridCol w:w="3421"/>
        <w:gridCol w:w="1761"/>
        <w:gridCol w:w="2151"/>
        <w:gridCol w:w="20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perceived likelihood (1 = very likely, 5 = very unlikely)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Job creation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Economic activity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Preservation of industries and jobs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Energy security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Environmental harm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Emission reduction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2.600***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2.899***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2.853***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2.931***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3.106***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2.507***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-0.280**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-0.230*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Measured after the treatment; "Don't know" excluded. Negative coefficients: the consequence is seen as more likely than in the control group. Treatments: short information texts on jobs, local economic growth, preservation of jobs and industries, energy security, or climate change. Reference category: control group (no information). Sample: NO;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2026-10-29T11:06:12Z</dcterms:modified>
  <cp:category/>
</cp:coreProperties>
</file>