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willingness to sign in favour, undecided respondents included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in favour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0.223***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Robustness check: undecided respondents are kept and coded as not signing in favour. Treatments: short information texts on jobs, local economic growth, preservation of jobs and industries, energy security, or climate change. Reference category: control group (no information). Sample: NO;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2026-10-29T11:06:21Z</dcterms:modified>
  <cp:category/>
</cp:coreProperties>
</file>