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200"/>
        <w:jc w:val="center"/>
        <w:rPr/>
      </w:pPr>
      <w:r>
        <w:rPr>
          <w:b/>
          <w:bCs/>
          <w:color w:val="0D2147"/>
          <w:sz w:val="28"/>
          <w:szCs w:val="28"/>
        </w:rPr>
        <w:t>SSD POL. VIRTUS 2014 SRL</w:t>
      </w:r>
      <w:r>
        <w:rPr>
          <w:b/>
          <w:bCs/>
          <w:color w:val="0D2147"/>
          <w:sz w:val="24"/>
          <w:szCs w:val="24"/>
        </w:rPr>
        <w:br/>
        <w:t xml:space="preserve"> NUOVA VIRTUS BASKET MOLFETTA</w:t>
      </w:r>
    </w:p>
    <w:p>
      <w:pPr>
        <w:pStyle w:val="Normal"/>
        <w:pBdr>
          <w:bottom w:val="single" w:sz="8" w:space="0" w:color="F57C00"/>
        </w:pBdr>
        <w:spacing w:before="0" w:after="400"/>
        <w:jc w:val="center"/>
        <w:rPr/>
      </w:pPr>
      <w:r>
        <w:rPr>
          <w:color w:val="546E7A"/>
          <w:sz w:val="18"/>
          <w:szCs w:val="18"/>
        </w:rPr>
        <w:t>Via Martiri di Via Fani c/o PalaPoli — 70056 Molfetta (BA)</w:t>
      </w:r>
    </w:p>
    <w:p>
      <w:pPr>
        <w:pStyle w:val="Titolo1"/>
        <w:rPr/>
      </w:pPr>
      <w:r>
        <w:rPr>
          <w:b/>
          <w:bCs/>
          <w:color w:val="0D2147"/>
          <w:sz w:val="28"/>
          <w:szCs w:val="28"/>
        </w:rPr>
        <w:t>GRATTA &amp; VINCI VIRTUS — Programma Operativo</w:t>
      </w:r>
    </w:p>
    <w:p>
      <w:pPr>
        <w:pStyle w:val="Normal"/>
        <w:spacing w:before="0" w:after="300"/>
        <w:rPr/>
      </w:pPr>
      <w:r>
        <w:rPr>
          <w:i/>
          <w:iCs/>
          <w:color w:val="546E7A"/>
          <w:sz w:val="20"/>
          <w:szCs w:val="20"/>
        </w:rPr>
        <w:t xml:space="preserve">Stagione Sportiva 2026/2027 </w:t>
      </w:r>
    </w:p>
    <w:p>
      <w:pPr>
        <w:pStyle w:val="Titolo2"/>
        <w:rPr/>
      </w:pPr>
      <w:r>
        <w:rPr>
          <w:b/>
          <w:bCs/>
          <w:color w:val="F57C00"/>
          <w:sz w:val="24"/>
          <w:szCs w:val="24"/>
        </w:rPr>
        <w:t>1. CONCEPT</w:t>
      </w:r>
    </w:p>
    <w:p>
      <w:pPr>
        <w:pStyle w:val="Normal"/>
        <w:spacing w:before="0" w:after="120"/>
        <w:rPr/>
      </w:pPr>
      <w:r>
        <w:rPr/>
        <w:t>Gratta &amp; Vinci brandizzato Virtus: card formato 54×85mm con area raschiabile che rivela immediatamente l'eventuale premio. Il talloncino integro (retro della card) partecipa all'estrazione finale pubblica in data 04/04/2027 al PalaPoli.</w:t>
      </w:r>
    </w:p>
    <w:p>
      <w:pPr>
        <w:pStyle w:val="Titolo2"/>
        <w:rPr/>
      </w:pPr>
      <w:r>
        <w:rPr>
          <w:b/>
          <w:bCs/>
          <w:color w:val="F57C00"/>
          <w:sz w:val="24"/>
          <w:szCs w:val="24"/>
        </w:rPr>
        <w:t>2. PIANO ECONOMICO</w:t>
      </w:r>
    </w:p>
    <w:p>
      <w:pPr>
        <w:pStyle w:val="Normal"/>
        <w:spacing w:before="0" w:after="120"/>
        <w:rPr/>
      </w:pPr>
      <w:r>
        <w:rPr>
          <w:b/>
          <w:bCs/>
        </w:rPr>
        <w:t>RICAVI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2250"/>
        <w:gridCol w:w="2250"/>
        <w:gridCol w:w="2249"/>
      </w:tblGrid>
      <w:tr>
        <w:trPr>
          <w:tblHeader w:val="true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D2147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Voce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D214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Quantità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D214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Prezzo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D214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Totale</w:t>
            </w:r>
          </w:p>
        </w:tc>
      </w:tr>
      <w:tr>
        <w:trPr/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Vendita ticket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2.000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€ 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>3,00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€ 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>6.000,00</w:t>
            </w:r>
          </w:p>
        </w:tc>
      </w:tr>
      <w:tr>
        <w:trPr/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TOTALE RICAVI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€ 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>6.000,00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bCs/>
        </w:rPr>
        <w:t>COSTI STIMATI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2250"/>
        <w:gridCol w:w="2250"/>
        <w:gridCol w:w="2249"/>
      </w:tblGrid>
      <w:tr>
        <w:trPr>
          <w:tblHeader w:val="true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D2147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Voce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D214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Min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D214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Max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D214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>
        <w:trPr/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Stampa 2.000 card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€ 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>800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€ 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>1.200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Tipografia specializzata</w:t>
            </w:r>
          </w:p>
        </w:tc>
      </w:tr>
      <w:tr>
        <w:trPr/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Premi one shot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€ 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>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€ 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>0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In natura da sponsor</w:t>
            </w:r>
          </w:p>
        </w:tc>
      </w:tr>
      <w:tr>
        <w:trPr/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Premio estrazione finale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€ 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>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€ 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>0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In natura da sponsor</w:t>
            </w:r>
          </w:p>
        </w:tc>
      </w:tr>
      <w:tr>
        <w:trPr/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Notaio/estrazione pubblica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€ 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€ 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>400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Eventuale</w:t>
            </w:r>
          </w:p>
        </w:tc>
      </w:tr>
      <w:tr>
        <w:trPr/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Comunicazione e promo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€ 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€ 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Materiali grafici</w:t>
            </w:r>
          </w:p>
        </w:tc>
      </w:tr>
      <w:tr>
        <w:trPr/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TOTALE COSTI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€ 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>1.200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€ 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>1.900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MARGINE NETTO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€ 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>4.100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€ 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>4.800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Titolo2"/>
        <w:rPr/>
      </w:pPr>
      <w:r>
        <w:rPr>
          <w:b/>
          <w:bCs/>
          <w:color w:val="F57C00"/>
          <w:sz w:val="24"/>
          <w:szCs w:val="24"/>
        </w:rPr>
        <w:t>3. STRUTTURA PREMI ONE SHOT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0"/>
        <w:gridCol w:w="2250"/>
        <w:gridCol w:w="2250"/>
        <w:gridCol w:w="2249"/>
      </w:tblGrid>
      <w:tr>
        <w:trPr>
          <w:tblHeader w:val="true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D2147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Categoria Premio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D214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N. Premi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D214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Valore ind.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D214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Fornitore</w:t>
            </w:r>
          </w:p>
        </w:tc>
      </w:tr>
      <w:tr>
        <w:trPr/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Maglia da gara autografata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5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€ 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>50 cad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Virtus</w:t>
            </w:r>
          </w:p>
        </w:tc>
      </w:tr>
      <w:tr>
        <w:trPr/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Abbonamento Fan Card Silver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3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€ 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>50 cad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Virtus</w:t>
            </w:r>
          </w:p>
        </w:tc>
      </w:tr>
      <w:tr>
        <w:trPr/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Gadget Virtus (zaino/felpa)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20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€ 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>20–30 cad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Sponsor</w:t>
            </w:r>
          </w:p>
        </w:tc>
      </w:tr>
      <w:tr>
        <w:trPr/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Voucher sponsor locali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50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€ 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>15–30 cad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Sponsor</w:t>
            </w:r>
          </w:p>
        </w:tc>
      </w:tr>
      <w:tr>
        <w:trPr/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Gadget minori (portachiavi)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€ 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>5 cad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Sponsor</w:t>
            </w:r>
          </w:p>
        </w:tc>
      </w:tr>
      <w:tr>
        <w:trPr/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NESSUN PREMIO (perdenti)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~1.822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—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>Percentuale vincente stimata: ~8,9% — rapporto equilibrato per sostenere la vendita.</w:t>
      </w:r>
    </w:p>
    <w:p>
      <w:pPr>
        <w:pStyle w:val="Titolo2"/>
        <w:rPr/>
      </w:pPr>
      <w:r>
        <w:rPr>
          <w:b/>
          <w:bCs/>
          <w:color w:val="F57C00"/>
          <w:sz w:val="24"/>
          <w:szCs w:val="24"/>
        </w:rPr>
        <w:t>4. ESTRAZIONE FINALE</w:t>
      </w:r>
    </w:p>
    <w:p>
      <w:pPr>
        <w:pStyle w:val="Normal"/>
        <w:spacing w:before="0" w:after="120"/>
        <w:rPr/>
      </w:pPr>
      <w:r>
        <w:rPr/>
        <w:t>Data pubblica: 4 aprile 2027 al PalaPoli di Molfetta.</w:t>
      </w:r>
    </w:p>
    <w:p>
      <w:pPr>
        <w:pStyle w:val="Normal"/>
        <w:spacing w:before="0" w:after="120"/>
        <w:rPr/>
      </w:pPr>
      <w:r>
        <w:rPr/>
        <w:t xml:space="preserve">Premio principale suggerito: </w:t>
      </w:r>
      <w:r>
        <w:rPr/>
        <w:t>MINI CROCIERA con la Collaborazione della Agenzia Viaggi “xxxxx”</w:t>
      </w:r>
    </w:p>
    <w:p>
      <w:pPr>
        <w:pStyle w:val="Normal"/>
        <w:spacing w:before="0" w:after="120"/>
        <w:rPr/>
      </w:pPr>
      <w:r>
        <w:rPr/>
        <w:t xml:space="preserve">La sostenibilità del premio viene garantita allo sponsor con emissione di fattura di pubblicità pari al doppio del valore dichiarato. </w:t>
      </w:r>
      <w:r>
        <w:rPr/>
        <w:t>Modalità: estrazione pubblica con verbalizzazione. Eventuale presenza notaio da valutare in base al percorso autorizzativo scelto.</w:t>
      </w:r>
    </w:p>
    <w:p>
      <w:pPr>
        <w:pStyle w:val="Titolo2"/>
        <w:rPr/>
      </w:pPr>
      <w:r>
        <w:rPr>
          <w:b/>
          <w:bCs/>
          <w:color w:val="F57C00"/>
          <w:sz w:val="24"/>
          <w:szCs w:val="24"/>
        </w:rPr>
        <w:t>5. ASPETTI LEGALI — PUNTO CRITICO</w:t>
      </w:r>
    </w:p>
    <w:p>
      <w:pPr>
        <w:pStyle w:val="Normal"/>
        <w:spacing w:before="0" w:after="120"/>
        <w:rPr/>
      </w:pPr>
      <w:r>
        <w:rPr/>
        <w:t>Le manifestazioni a premio con estrazione sono regolate in Italia dal D.Lgs. 496/1948 e successive modifiche. Si individuano tre possibili percorsi:</w:t>
      </w:r>
    </w:p>
    <w:p>
      <w:pPr>
        <w:pStyle w:val="Normal"/>
        <w:spacing w:before="0" w:after="120"/>
        <w:rPr/>
      </w:pPr>
      <w:r>
        <w:rPr>
          <w:b/>
          <w:bCs/>
        </w:rPr>
        <w:t>Scenario A — Concorso a premi:</w:t>
      </w:r>
    </w:p>
    <w:p>
      <w:pPr>
        <w:pStyle w:val="Normal"/>
        <w:spacing w:before="0" w:after="120"/>
        <w:rPr/>
      </w:pPr>
      <w:r>
        <w:rPr/>
        <w:t>Ticket come partecipazione abbinata ad acquisto. Richiede comunicazione al Ministero delle Imprese e del Made in Italy (MIMIT) con cauzione pari al 20% del valore premi entro 30 giorni dall'inizio.</w:t>
      </w:r>
    </w:p>
    <w:p>
      <w:pPr>
        <w:pStyle w:val="Normal"/>
        <w:spacing w:before="0" w:after="120"/>
        <w:rPr/>
      </w:pPr>
      <w:r>
        <w:rPr>
          <w:b/>
          <w:bCs/>
        </w:rPr>
        <w:t>Scenario B — Lotteria abbinata a vendita:</w:t>
      </w:r>
    </w:p>
    <w:p>
      <w:pPr>
        <w:pStyle w:val="Normal"/>
        <w:spacing w:before="0" w:after="120"/>
        <w:rPr/>
      </w:pPr>
      <w:r>
        <w:rPr/>
        <w:t>Ticket a pagamento con premio: assimilabile a lotteria. Richiede autorizzazione ADM (Agenzia delle Dogane e dei Monopoli). Percorso più complesso e oneroso.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left w:val="single" w:sz="12" w:space="0" w:color="F57C00"/>
        </w:pBdr>
        <w:shd w:val="clear" w:fill="FFF3E0"/>
        <w:spacing w:before="0" w:after="200"/>
        <w:ind w:left="400" w:hanging="0"/>
        <w:rPr/>
      </w:pPr>
      <w:r>
        <w:rPr>
          <w:b/>
          <w:bCs/>
          <w:sz w:val="18"/>
          <w:szCs w:val="18"/>
        </w:rPr>
        <w:t xml:space="preserve">RACCOMANDAZIONE: Prima di procedere alla stampa dei ticket, consultare un avvocato o commercialista esperto in manifestazioni a premio. Il costo </w:t>
      </w:r>
      <w:r>
        <w:rPr>
          <w:b/>
          <w:bCs/>
          <w:sz w:val="18"/>
          <w:szCs w:val="18"/>
        </w:rPr>
        <w:t xml:space="preserve">eventuale della consulenza </w:t>
      </w:r>
      <w:r>
        <w:rPr>
          <w:b/>
          <w:bCs/>
          <w:sz w:val="18"/>
          <w:szCs w:val="18"/>
        </w:rPr>
        <w:t>è ampiamente coperto dal margine dell'iniziativa.</w:t>
      </w:r>
    </w:p>
    <w:p>
      <w:pPr>
        <w:pStyle w:val="Titolo2"/>
        <w:rPr/>
      </w:pPr>
      <w:r>
        <w:rPr>
          <w:b/>
          <w:bCs/>
          <w:color w:val="F57C00"/>
          <w:sz w:val="24"/>
          <w:szCs w:val="24"/>
        </w:rPr>
        <w:t>6. CANALI DI VENDITA</w:t>
      </w:r>
    </w:p>
    <w:p>
      <w:pPr>
        <w:pStyle w:val="Normal"/>
        <w:spacing w:before="0" w:after="120"/>
        <w:rPr/>
      </w:pPr>
      <w:r>
        <w:rPr/>
        <w:t xml:space="preserve">• </w:t>
      </w:r>
      <w:r>
        <w:rPr/>
        <w:t>Botteghino PalaPoli durante le gare casalinghe</w:t>
      </w:r>
    </w:p>
    <w:p>
      <w:pPr>
        <w:pStyle w:val="Normal"/>
        <w:spacing w:before="0" w:after="120"/>
        <w:rPr/>
      </w:pPr>
      <w:r>
        <w:rPr/>
        <w:t xml:space="preserve">• </w:t>
      </w:r>
      <w:r>
        <w:rPr/>
        <w:t>Punti vendita partner/sponsor convenzionati</w:t>
      </w:r>
    </w:p>
    <w:p>
      <w:pPr>
        <w:pStyle w:val="Normal"/>
        <w:spacing w:before="0" w:after="120"/>
        <w:rPr/>
      </w:pPr>
      <w:r>
        <w:rPr/>
        <w:t xml:space="preserve">• </w:t>
      </w:r>
      <w:r>
        <w:rPr/>
        <w:t>Promozione social media organica</w:t>
      </w:r>
    </w:p>
    <w:p>
      <w:pPr>
        <w:pStyle w:val="Normal"/>
        <w:spacing w:before="0" w:after="200"/>
        <w:rPr/>
      </w:pPr>
      <w:r>
        <w:rPr/>
      </w:r>
    </w:p>
    <w:p>
      <w:pPr>
        <w:pStyle w:val="Titolo2"/>
        <w:rPr/>
      </w:pPr>
      <w:r>
        <w:rPr>
          <w:b/>
          <w:bCs/>
          <w:color w:val="F57C00"/>
          <w:sz w:val="24"/>
          <w:szCs w:val="24"/>
        </w:rPr>
        <w:t>7. TEMPISTICA</w:t>
      </w:r>
    </w:p>
    <w:tbl>
      <w:tblPr>
        <w:tblW w:w="90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3000"/>
        <w:gridCol w:w="3000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D2147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D214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Periodo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D2147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Responsabile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Approvazione direttivo + consulenza legale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URGENTE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Presidenza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Raccolta premi sponsor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URGENTE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Ufficio commerciale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Stampa ticket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URGENTE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Segreteria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Lancio vendite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URGENTE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Tutto lo staff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Chiusura vendite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URGENTE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Segreteria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0F0F0" w:val="clear"/>
          </w:tcPr>
          <w:p>
            <w:pPr>
              <w:pStyle w:val="Normal"/>
              <w:widowControl w:val="false"/>
              <w:jc w:val="left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Estrazione finale pubblica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URGENTE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>Presidenza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Titolo2"/>
        <w:rPr/>
      </w:pPr>
      <w:r>
        <w:rPr>
          <w:b/>
          <w:bCs/>
          <w:color w:val="F57C00"/>
          <w:sz w:val="24"/>
          <w:szCs w:val="24"/>
        </w:rPr>
        <w:t>8. INTEGRAZIONE CON VIRTUS FAN CARD</w:t>
      </w:r>
    </w:p>
    <w:p>
      <w:pPr>
        <w:pStyle w:val="Normal"/>
        <w:spacing w:before="0" w:after="120"/>
        <w:rPr/>
      </w:pPr>
      <w:r>
        <w:rPr/>
        <w:t>L'iniziativa si integra nativamente con il sistema Fan Card già attivo su virtusfanmolfetta.com:</w:t>
      </w:r>
    </w:p>
    <w:p>
      <w:pPr>
        <w:pStyle w:val="Normal"/>
        <w:spacing w:before="0" w:after="120"/>
        <w:rPr/>
      </w:pPr>
      <w:r>
        <w:rPr/>
        <w:t xml:space="preserve">• </w:t>
      </w:r>
      <w:r>
        <w:rPr/>
        <w:t>Sezione dedicata "Gratta &amp; Vinci" sul sito con regolamento completo e lista premi</w:t>
      </w:r>
    </w:p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top w:val="single" w:sz="4" w:space="0" w:color="0D2147"/>
        </w:pBdr>
        <w:spacing w:before="200" w:after="0"/>
        <w:jc w:val="center"/>
        <w:rPr/>
      </w:pPr>
      <w:r>
        <w:rPr>
          <w:i/>
          <w:iCs/>
          <w:color w:val="9E9E9E"/>
          <w:sz w:val="16"/>
          <w:szCs w:val="16"/>
        </w:rPr>
        <w:t>SSD Pol. Virtus 2014 Srl — Documento riservato al Direttivo — Settembre 2026</w:t>
      </w:r>
    </w:p>
    <w:p>
      <w:pPr>
        <w:pStyle w:val="Titolo1"/>
        <w:spacing w:before="240" w:after="120"/>
        <w:rPr>
          <w:b/>
          <w:b/>
          <w:bCs/>
          <w:color w:val="0D2147"/>
          <w:sz w:val="28"/>
          <w:szCs w:val="28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it-IT" w:eastAsia="zh-CN" w:bidi="hi-IN"/>
    </w:rPr>
  </w:style>
  <w:style w:type="paragraph" w:styleId="Titolo1">
    <w:name w:val="Heading 1"/>
    <w:basedOn w:val="Titolo"/>
    <w:qFormat/>
    <w:pPr/>
    <w:rPr>
      <w:color w:val="2E74B5"/>
      <w:sz w:val="32"/>
      <w:szCs w:val="32"/>
    </w:rPr>
  </w:style>
  <w:style w:type="paragraph" w:styleId="Titolo2">
    <w:name w:val="Heading 2"/>
    <w:basedOn w:val="Titolo"/>
    <w:qFormat/>
    <w:pPr/>
    <w:rPr>
      <w:color w:val="2E74B5"/>
      <w:sz w:val="26"/>
      <w:szCs w:val="26"/>
    </w:rPr>
  </w:style>
  <w:style w:type="paragraph" w:styleId="Titolo3">
    <w:name w:val="Heading 3"/>
    <w:basedOn w:val="Titolo"/>
    <w:qFormat/>
    <w:pPr/>
    <w:rPr>
      <w:color w:val="1F4D78"/>
      <w:sz w:val="24"/>
      <w:szCs w:val="24"/>
    </w:rPr>
  </w:style>
  <w:style w:type="paragraph" w:styleId="Titolo4">
    <w:name w:val="Heading 4"/>
    <w:basedOn w:val="Titolo"/>
    <w:qFormat/>
    <w:pPr/>
    <w:rPr>
      <w:i/>
      <w:iCs/>
      <w:color w:val="2E74B5"/>
    </w:rPr>
  </w:style>
  <w:style w:type="paragraph" w:styleId="Titolo5">
    <w:name w:val="Heading 5"/>
    <w:basedOn w:val="Titolo"/>
    <w:qFormat/>
    <w:pPr/>
    <w:rPr>
      <w:color w:val="2E74B5"/>
    </w:rPr>
  </w:style>
  <w:style w:type="paragraph" w:styleId="Titolo6">
    <w:name w:val="Heading 6"/>
    <w:basedOn w:val="Titolo"/>
    <w:qFormat/>
    <w:pPr/>
    <w:rPr>
      <w:color w:val="1F4D78"/>
    </w:rPr>
  </w:style>
  <w:style w:type="character" w:styleId="CollegamentoInternet">
    <w:name w:val="Collegamento Internet"/>
    <w:uiPriority w:val="99"/>
    <w:unhideWhenUsed/>
    <w:rPr>
      <w:color w:val="0563C1"/>
      <w:u w:val="single"/>
    </w:rPr>
  </w:style>
  <w:style w:type="character" w:styleId="Richiamoallanotaapidipagina">
    <w:name w:val="Richiamo alla nota a piè di pagina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Richiamoallanotadichiusura">
    <w:name w:val="Richiamo alla nota di chiusura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  <w:style w:type="paragraph" w:styleId="Elenco">
    <w:name w:val="List"/>
    <w:basedOn w:val="Corpodeltesto"/>
    <w:pPr/>
    <w:rPr>
      <w:rFonts w:cs="Lucida Sans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principale">
    <w:name w:val="Title"/>
    <w:basedOn w:val="Titolo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it-I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SimSun" w:cs="Lucida Sans"/>
      <w:color w:val="auto"/>
      <w:kern w:val="0"/>
      <w:sz w:val="20"/>
      <w:szCs w:val="20"/>
      <w:lang w:val="it-IT" w:eastAsia="zh-CN" w:bidi="hi-IN"/>
    </w:rPr>
  </w:style>
  <w:style w:type="paragraph" w:styleId="Notaapidipagina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dichiusura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LibreOffice/7.0.4.2$Windows_X86_64 LibreOffice_project/dcf040e67528d9187c66b2379df5ea4407429775</Application>
  <AppVersion>15.0000</AppVersion>
  <Pages>2</Pages>
  <Words>495</Words>
  <Characters>2846</Characters>
  <CharactersWithSpaces>3231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2026-09-01T08:58:59Z</dcterms:created>
  <dc:creator>Un-named</dc:creator>
  <dc:description/>
  <dc:language>it-IT</dc:language>
  <cp:lastModifiedBy/>
  <dcterms:modified xsi:type="dcterms:W3CDTF">2026-09-01T23:00:02Z</dcterms:modified>
  <cp:revision>2</cp:revision>
  <dc:subject/>
  <dc:title/>
</cp:coreProperties>
</file>