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</w:p>
    <w:p>
      <w:pPr>
        <w:spacing w:before="400" w:after="120"/>
        <w:jc w:val="center"/>
      </w:pPr>
      <w:r>
        <w:rPr>
          <w:b/>
          <w:color w:val="1A3A6B"/>
          <w:sz w:val="56"/>
        </w:rPr>
        <w:t>VIRTUS MOLFETTA</w:t>
      </w:r>
    </w:p>
    <w:p>
      <w:pPr>
        <w:spacing w:before="0" w:after="80"/>
        <w:jc w:val="center"/>
      </w:pPr>
      <w:r>
        <w:rPr>
          <w:b w:val="0"/>
          <w:color w:val="F57C00"/>
          <w:sz w:val="32"/>
        </w:rPr>
        <w:t>Fan Card Program</w:t>
      </w:r>
    </w:p>
    <w:p>
      <w:pPr>
        <w:spacing w:before="0" w:after="120"/>
        <w:jc w:val="left"/>
      </w:pPr>
    </w:p>
    <w:p>
      <w:pPr>
        <w:spacing w:before="0" w:after="0"/>
        <w:jc w:val="center"/>
      </w:pPr>
      <w:r>
        <w:rPr>
          <w:color w:val="E65100"/>
        </w:rPr>
        <w:t>━━━━━━━━━━━━━━━━━━━━━━━━━━━━━━━━━━━━━━━━</w:t>
      </w:r>
    </w:p>
    <w:p>
      <w:pPr>
        <w:spacing w:before="0" w:after="120"/>
        <w:jc w:val="left"/>
      </w:pPr>
    </w:p>
    <w:p>
      <w:pPr>
        <w:spacing w:before="160" w:after="80"/>
        <w:jc w:val="center"/>
      </w:pPr>
      <w:r>
        <w:rPr>
          <w:b/>
          <w:color w:val="1A3A6B"/>
          <w:sz w:val="40"/>
        </w:rPr>
        <w:t>PROPOSTA DI COLLABORAZIONE PARTNER</w:t>
      </w:r>
    </w:p>
    <w:p>
      <w:pPr>
        <w:spacing w:before="0" w:after="12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57C00"/>
                <w:sz w:val="20"/>
              </w:rPr>
              <w:t>PARTNER</w:t>
            </w:r>
          </w:p>
        </w:tc>
      </w:tr>
      <w:tr>
        <w:tc>
          <w:tcPr>
            <w:tcW w:type="dxa" w:w="9406"/>
            <w:shd w:val="clear" w:color="auto" w:fill="F5F5F5"/>
          </w:tcPr>
          <w:p>
            <w:pPr>
              <w:spacing w:before="160" w:after="160"/>
              <w:jc w:val="center"/>
            </w:pPr>
            <w:r>
              <w:rPr>
                <w:b/>
                <w:color w:val="1A3A6B"/>
                <w:sz w:val="36"/>
              </w:rPr>
              <w:t>CAB Tutela</w:t>
            </w:r>
          </w:p>
        </w:tc>
      </w:tr>
      <w:tr>
        <w:tc>
          <w:tcPr>
            <w:tcW w:type="dxa" w:w="9406"/>
            <w:shd w:val="clear" w:color="auto" w:fill="F5F5F5"/>
          </w:tcPr>
          <w:p>
            <w:pPr>
              <w:spacing w:before="80" w:after="80"/>
              <w:jc w:val="center"/>
            </w:pPr>
            <w:r>
              <w:rPr>
                <w:color w:val="444444"/>
                <w:sz w:val="22"/>
              </w:rPr>
              <w:t>Stagione 2025/2026</w:t>
            </w:r>
          </w:p>
        </w:tc>
      </w:tr>
    </w:tbl>
    <w:p>
      <w:pPr>
        <w:spacing w:before="0" w:after="120"/>
        <w:jc w:val="left"/>
      </w:pPr>
    </w:p>
    <w:p>
      <w:pPr>
        <w:spacing w:before="400" w:after="120"/>
        <w:jc w:val="center"/>
      </w:pPr>
      <w:r>
        <w:rPr>
          <w:b w:val="0"/>
          <w:color w:val="444444"/>
          <w:sz w:val="18"/>
        </w:rPr>
        <w:t>Riservato e Confidenziale</w:t>
      </w:r>
    </w:p>
    <w:p>
      <w:r>
        <w:br w:type="page"/>
      </w:r>
    </w:p>
    <w:p>
      <w:pPr>
        <w:spacing w:before="280" w:after="80"/>
        <w:jc w:val="left"/>
        <w:pBdr>
          <w:bottom w:val="single" w:sz="6" w:space="4" w:color="E65100"/>
        </w:pBdr>
      </w:pPr>
      <w:r>
        <w:rPr>
          <w:b/>
          <w:color w:val="1A3A6B"/>
          <w:sz w:val="28"/>
        </w:rPr>
        <w:t>1. Chi Siamo</w:t>
      </w:r>
    </w:p>
    <w:p>
      <w:pPr>
        <w:spacing w:before="0" w:after="160"/>
        <w:jc w:val="left"/>
      </w:pPr>
      <w:r>
        <w:rPr>
          <w:b w:val="0"/>
          <w:sz w:val="22"/>
        </w:rPr>
        <w:t>La Virtus Molfetta è una delle realtà sportive più radicate nel territorio pugliese. Da oltre 25 anni portiamo la pallacanestro nel cuore della nostra comunità, costruendo un legame autentico e duraturo con i tifosi e le famiglie di Molfetta.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A6B"/>
          </w:tcPr>
          <w:p>
            <w:pPr>
              <w:spacing w:before="160" w:after="40"/>
              <w:jc w:val="center"/>
            </w:pPr>
            <w:r>
              <w:rPr>
                <w:b/>
                <w:color w:val="E65100"/>
                <w:sz w:val="44"/>
              </w:rPr>
              <w:t>1998</w:t>
            </w:r>
          </w:p>
          <w:p>
            <w:pPr>
              <w:spacing w:before="0" w:after="160"/>
              <w:jc w:val="center"/>
            </w:pPr>
            <w:r>
              <w:rPr>
                <w:color w:val="FFFFFF"/>
                <w:sz w:val="18"/>
              </w:rPr>
              <w:t>Anno di</w:t>
              <w:br/>
              <w:t>Fondazione</w:t>
            </w:r>
          </w:p>
        </w:tc>
        <w:tc>
          <w:tcPr>
            <w:tcW w:type="dxa" w:w="3135"/>
            <w:shd w:val="clear" w:color="auto" w:fill="1A3A6B"/>
          </w:tcPr>
          <w:p>
            <w:pPr>
              <w:spacing w:before="160" w:after="40"/>
              <w:jc w:val="center"/>
            </w:pPr>
            <w:r>
              <w:rPr>
                <w:b/>
                <w:color w:val="E65100"/>
                <w:sz w:val="44"/>
              </w:rPr>
              <w:t>500+</w:t>
            </w:r>
          </w:p>
          <w:p>
            <w:pPr>
              <w:spacing w:before="0" w:after="160"/>
              <w:jc w:val="center"/>
            </w:pPr>
            <w:r>
              <w:rPr>
                <w:color w:val="FFFFFF"/>
                <w:sz w:val="18"/>
              </w:rPr>
              <w:t>Tifosi</w:t>
              <w:br/>
              <w:t>Attivi</w:t>
            </w:r>
          </w:p>
        </w:tc>
        <w:tc>
          <w:tcPr>
            <w:tcW w:type="dxa" w:w="3135"/>
            <w:shd w:val="clear" w:color="auto" w:fill="1A3A6B"/>
          </w:tcPr>
          <w:p>
            <w:pPr>
              <w:spacing w:before="160" w:after="40"/>
              <w:jc w:val="center"/>
            </w:pPr>
            <w:r>
              <w:rPr>
                <w:b/>
                <w:color w:val="E65100"/>
                <w:sz w:val="44"/>
              </w:rPr>
              <w:t>365</w:t>
            </w:r>
          </w:p>
          <w:p>
            <w:pPr>
              <w:spacing w:before="0" w:after="160"/>
              <w:jc w:val="center"/>
            </w:pPr>
            <w:r>
              <w:rPr>
                <w:color w:val="FFFFFF"/>
                <w:sz w:val="18"/>
              </w:rPr>
              <w:t>Giorni di</w:t>
              <w:br/>
              <w:t>Passione</w:t>
            </w:r>
          </w:p>
        </w:tc>
      </w:tr>
    </w:tbl>
    <w:p>
      <w:pPr>
        <w:spacing w:before="0" w:after="120"/>
        <w:jc w:val="left"/>
      </w:pPr>
    </w:p>
    <w:p>
      <w:pPr>
        <w:spacing w:before="280" w:after="80"/>
        <w:jc w:val="left"/>
        <w:pBdr>
          <w:bottom w:val="single" w:sz="6" w:space="4" w:color="E65100"/>
        </w:pBdr>
      </w:pPr>
      <w:r>
        <w:rPr>
          <w:b/>
          <w:color w:val="1A3A6B"/>
          <w:sz w:val="28"/>
        </w:rPr>
        <w:t>2. Come Funziona la Fan Card</w:t>
      </w:r>
    </w:p>
    <w:p>
      <w:pPr>
        <w:spacing w:before="0" w:after="160"/>
        <w:jc w:val="left"/>
      </w:pPr>
      <w:r>
        <w:rPr>
          <w:b w:val="0"/>
          <w:sz w:val="22"/>
        </w:rPr>
        <w:t>La Virtus Fan Card è il programma fedeltà ufficiale della Virtus Molfetta. I tifosi accumulano punti ad ogni acquisto effettuato presso i Partner aderenti e li riscattano in premi esclusivi legati al mondo della pallacanestro.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5F5F5"/>
          </w:tcPr>
          <w:p>
            <w:pPr>
              <w:spacing w:before="120"/>
              <w:jc w:val="center"/>
            </w:pPr>
            <w:r>
              <w:rPr>
                <w:b/>
                <w:color w:val="E65100"/>
                <w:sz w:val="40"/>
              </w:rPr>
              <w:t>1</w:t>
            </w:r>
          </w:p>
          <w:p>
            <w:pPr>
              <w:jc w:val="center"/>
            </w:pPr>
            <w:r>
              <w:rPr>
                <w:b/>
                <w:color w:val="1A3A6B"/>
                <w:sz w:val="18"/>
              </w:rPr>
              <w:t>ADERISCE</w:t>
            </w:r>
          </w:p>
          <w:p>
            <w:pPr>
              <w:spacing w:after="120"/>
              <w:jc w:val="center"/>
            </w:pPr>
            <w:r>
              <w:rPr>
                <w:color w:val="444444"/>
                <w:sz w:val="16"/>
              </w:rPr>
              <w:t>Il tifoso si registra gratuitamente alla Fan Card tramite app o punto vendita partner.</w:t>
            </w:r>
          </w:p>
        </w:tc>
        <w:tc>
          <w:tcPr>
            <w:tcW w:type="dxa" w:w="2351"/>
            <w:shd w:val="clear" w:color="auto" w:fill="F5F5F5"/>
          </w:tcPr>
          <w:p>
            <w:pPr>
              <w:spacing w:before="120"/>
              <w:jc w:val="center"/>
            </w:pPr>
            <w:r>
              <w:rPr>
                <w:b/>
                <w:color w:val="E65100"/>
                <w:sz w:val="40"/>
              </w:rPr>
              <w:t>2</w:t>
            </w:r>
          </w:p>
          <w:p>
            <w:pPr>
              <w:jc w:val="center"/>
            </w:pPr>
            <w:r>
              <w:rPr>
                <w:b/>
                <w:color w:val="1A3A6B"/>
                <w:sz w:val="18"/>
              </w:rPr>
              <w:t>ACQUISTA</w:t>
            </w:r>
          </w:p>
          <w:p>
            <w:pPr>
              <w:spacing w:after="120"/>
              <w:jc w:val="center"/>
            </w:pPr>
            <w:r>
              <w:rPr>
                <w:color w:val="444444"/>
                <w:sz w:val="16"/>
              </w:rPr>
              <w:t>Effettua acquisti presso CAB Tutela e i partner aderenti al programma.</w:t>
            </w:r>
          </w:p>
        </w:tc>
        <w:tc>
          <w:tcPr>
            <w:tcW w:type="dxa" w:w="2351"/>
            <w:shd w:val="clear" w:color="auto" w:fill="F5F5F5"/>
          </w:tcPr>
          <w:p>
            <w:pPr>
              <w:spacing w:before="120"/>
              <w:jc w:val="center"/>
            </w:pPr>
            <w:r>
              <w:rPr>
                <w:b/>
                <w:color w:val="E65100"/>
                <w:sz w:val="40"/>
              </w:rPr>
              <w:t>3</w:t>
            </w:r>
          </w:p>
          <w:p>
            <w:pPr>
              <w:jc w:val="center"/>
            </w:pPr>
            <w:r>
              <w:rPr>
                <w:b/>
                <w:color w:val="1A3A6B"/>
                <w:sz w:val="18"/>
              </w:rPr>
              <w:t>ACCUMULA</w:t>
            </w:r>
          </w:p>
          <w:p>
            <w:pPr>
              <w:spacing w:after="120"/>
              <w:jc w:val="center"/>
            </w:pPr>
            <w:r>
              <w:rPr>
                <w:color w:val="444444"/>
                <w:sz w:val="16"/>
              </w:rPr>
              <w:t>Riceve punti in automatico su ogni acquisto o interazione con i partner.</w:t>
            </w:r>
          </w:p>
        </w:tc>
        <w:tc>
          <w:tcPr>
            <w:tcW w:type="dxa" w:w="2351"/>
            <w:shd w:val="clear" w:color="auto" w:fill="F5F5F5"/>
          </w:tcPr>
          <w:p>
            <w:pPr>
              <w:spacing w:before="120"/>
              <w:jc w:val="center"/>
            </w:pPr>
            <w:r>
              <w:rPr>
                <w:b/>
                <w:color w:val="E65100"/>
                <w:sz w:val="40"/>
              </w:rPr>
              <w:t>4</w:t>
            </w:r>
          </w:p>
          <w:p>
            <w:pPr>
              <w:jc w:val="center"/>
            </w:pPr>
            <w:r>
              <w:rPr>
                <w:b/>
                <w:color w:val="1A3A6B"/>
                <w:sz w:val="18"/>
              </w:rPr>
              <w:t>RISCATTA</w:t>
            </w:r>
          </w:p>
          <w:p>
            <w:pPr>
              <w:spacing w:after="120"/>
              <w:jc w:val="center"/>
            </w:pPr>
            <w:r>
              <w:rPr>
                <w:color w:val="444444"/>
                <w:sz w:val="16"/>
              </w:rPr>
              <w:t>Converte i punti in premi: biglietti, merchandise, esperienze VIP.</w:t>
            </w:r>
          </w:p>
        </w:tc>
      </w:tr>
    </w:tbl>
    <w:p>
      <w:pPr>
        <w:spacing w:before="0" w:after="120"/>
        <w:jc w:val="left"/>
      </w:pPr>
    </w:p>
    <w:p>
      <w:pPr>
        <w:spacing w:before="280" w:after="80"/>
        <w:jc w:val="left"/>
        <w:pBdr>
          <w:bottom w:val="single" w:sz="6" w:space="4" w:color="E65100"/>
        </w:pBdr>
      </w:pPr>
      <w:r>
        <w:rPr>
          <w:b/>
          <w:color w:val="1A3A6B"/>
          <w:sz w:val="28"/>
        </w:rPr>
        <w:t>3. Vantaggi per il Partner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Vantaggio Commerciale</w:t>
            </w:r>
          </w:p>
        </w:tc>
        <w:tc>
          <w:tcPr>
            <w:tcW w:type="dxa" w:w="4703"/>
            <w:shd w:val="clear" w:color="auto" w:fill="1A3A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Visibilità e Marketing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80" w:after="80"/>
            </w:pPr>
            <w:r>
              <w:rPr>
                <w:sz w:val="20"/>
              </w:rPr>
              <w:t>✔  Accesso diretto a 500+ tifosi fidelizzati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80" w:after="80"/>
            </w:pPr>
            <w:r>
              <w:rPr>
                <w:sz w:val="20"/>
              </w:rPr>
              <w:t>✔  Logo sul sito ufficiale virtusfanmolfetta.com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80" w:after="80"/>
            </w:pPr>
            <w:r>
              <w:rPr>
                <w:sz w:val="20"/>
              </w:rPr>
              <w:t>✔  Traffico qualificato in-store e online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80" w:after="80"/>
            </w:pPr>
            <w:r>
              <w:rPr>
                <w:sz w:val="20"/>
              </w:rPr>
              <w:t>✔  Menzione nei canali social ufficiali (Instagram, Facebook)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80" w:after="80"/>
            </w:pPr>
            <w:r>
              <w:rPr>
                <w:sz w:val="20"/>
              </w:rPr>
              <w:t>✔  Promozioni dedicate ai possessori Fan Card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80" w:after="80"/>
            </w:pPr>
            <w:r>
              <w:rPr>
                <w:sz w:val="20"/>
              </w:rPr>
              <w:t>✔  Presenza nella app Fan Card con scheda partner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80" w:after="80"/>
            </w:pPr>
            <w:r>
              <w:rPr>
                <w:sz w:val="20"/>
              </w:rPr>
              <w:t>✔  Co-marketing su eventi e partite home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80" w:after="80"/>
            </w:pPr>
            <w:r>
              <w:rPr>
                <w:sz w:val="20"/>
              </w:rPr>
              <w:t>✔  Banner al PalaPoli durante le partite home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80" w:after="80"/>
            </w:pPr>
            <w:r>
              <w:rPr>
                <w:sz w:val="20"/>
              </w:rPr>
              <w:t>✔  Report mensile delle interazioni generate</w:t>
            </w:r>
          </w:p>
        </w:tc>
        <w:tc>
          <w:tcPr>
            <w:tcW w:type="dxa" w:w="4703"/>
            <w:shd w:val="clear" w:color="auto" w:fill="F5F5F5"/>
          </w:tcPr>
          <w:p>
            <w:pPr>
              <w:spacing w:before="80" w:after="80"/>
            </w:pPr>
            <w:r>
              <w:rPr>
                <w:sz w:val="20"/>
              </w:rPr>
              <w:t>✔  Newsletter al database tifosi con offerte del partner</w:t>
            </w:r>
          </w:p>
        </w:tc>
      </w:tr>
    </w:tbl>
    <w:p>
      <w:pPr>
        <w:spacing w:before="0" w:after="120"/>
        <w:jc w:val="left"/>
      </w:pPr>
    </w:p>
    <w:p>
      <w:pPr>
        <w:spacing w:before="280" w:after="80"/>
        <w:jc w:val="left"/>
        <w:pBdr>
          <w:bottom w:val="single" w:sz="6" w:space="4" w:color="E65100"/>
        </w:pBdr>
      </w:pPr>
      <w:r>
        <w:rPr>
          <w:b/>
          <w:color w:val="1A3A6B"/>
          <w:sz w:val="28"/>
        </w:rPr>
        <w:t>4. Impegni Reciproci</w:t>
      </w:r>
    </w:p>
    <w:p>
      <w:pPr>
        <w:spacing w:before="160" w:after="60"/>
        <w:jc w:val="left"/>
      </w:pPr>
      <w:r>
        <w:rPr>
          <w:b/>
          <w:color w:val="E65100"/>
          <w:sz w:val="22"/>
        </w:rPr>
        <w:t>Virtus Molfetta si impegna a:</w:t>
      </w:r>
    </w:p>
    <w:p>
      <w:pPr>
        <w:pStyle w:val="ListBullet"/>
        <w:spacing w:before="40" w:after="40"/>
      </w:pPr>
      <w:r>
        <w:rPr>
          <w:sz w:val="20"/>
        </w:rPr>
        <w:t>Promuovere CAB Tutela come partner ufficiale della Fan Card in tutti i canali di comunicazione.</w:t>
      </w:r>
    </w:p>
    <w:p>
      <w:pPr>
        <w:pStyle w:val="ListBullet"/>
        <w:spacing w:before="40" w:after="40"/>
      </w:pPr>
      <w:r>
        <w:rPr>
          <w:sz w:val="20"/>
        </w:rPr>
        <w:t>Inserire il logo e il profilo di CAB Tutela nella app Fan Card e sul sito istituzionale.</w:t>
      </w:r>
    </w:p>
    <w:p>
      <w:pPr>
        <w:pStyle w:val="ListBullet"/>
        <w:spacing w:before="40" w:after="40"/>
      </w:pPr>
      <w:r>
        <w:rPr>
          <w:sz w:val="20"/>
        </w:rPr>
        <w:t>Segnalare il partner durante le partite home al PalaPoli (annuncio speaker + banner).</w:t>
      </w:r>
    </w:p>
    <w:p>
      <w:pPr>
        <w:pStyle w:val="ListBullet"/>
        <w:spacing w:before="40" w:after="40"/>
      </w:pPr>
      <w:r>
        <w:rPr>
          <w:sz w:val="20"/>
        </w:rPr>
        <w:t>Condividere mensilmente un report sull'engagement generato dalla partnership.</w:t>
      </w:r>
    </w:p>
    <w:p>
      <w:pPr>
        <w:pStyle w:val="ListBullet"/>
        <w:spacing w:before="40" w:after="40"/>
      </w:pPr>
      <w:r>
        <w:rPr>
          <w:sz w:val="20"/>
        </w:rPr>
        <w:t>Garantire la riservatezza dei dati e il rispetto delle normative GDPR.</w:t>
      </w:r>
    </w:p>
    <w:p>
      <w:pPr>
        <w:spacing w:before="160" w:after="60"/>
        <w:jc w:val="left"/>
      </w:pPr>
      <w:r>
        <w:rPr>
          <w:b/>
          <w:color w:val="E65100"/>
          <w:sz w:val="22"/>
        </w:rPr>
        <w:t>CAB Tutela si impegna a:</w:t>
      </w:r>
    </w:p>
    <w:p>
      <w:pPr>
        <w:pStyle w:val="ListBullet"/>
        <w:spacing w:before="40" w:after="40"/>
      </w:pPr>
      <w:r>
        <w:rPr>
          <w:sz w:val="20"/>
        </w:rPr>
        <w:t>Riconoscere un vantaggio misurabile (sconto, servizio, bonus) ai possessori di Fan Card.</w:t>
      </w:r>
    </w:p>
    <w:p>
      <w:pPr>
        <w:pStyle w:val="ListBullet"/>
        <w:spacing w:before="40" w:after="40"/>
      </w:pPr>
      <w:r>
        <w:rPr>
          <w:sz w:val="20"/>
        </w:rPr>
        <w:t>Comunicare la partnership ai propri clienti attraverso i propri canali.</w:t>
      </w:r>
    </w:p>
    <w:p>
      <w:pPr>
        <w:pStyle w:val="ListBullet"/>
        <w:spacing w:before="40" w:after="40"/>
      </w:pPr>
      <w:r>
        <w:rPr>
          <w:sz w:val="20"/>
        </w:rPr>
        <w:t>Aggiornare tempestivamente la Virtus su eventuali variazioni di offerta o contatti.</w:t>
      </w:r>
    </w:p>
    <w:p>
      <w:pPr>
        <w:pStyle w:val="ListBullet"/>
        <w:spacing w:before="40" w:after="40"/>
      </w:pPr>
      <w:r>
        <w:rPr>
          <w:sz w:val="20"/>
        </w:rPr>
        <w:t>Rispettare il codice etico e i valori dello sport promossi dalla Virtus Molfetta.</w:t>
      </w:r>
    </w:p>
    <w:p>
      <w:pPr>
        <w:spacing w:before="0" w:after="120"/>
        <w:jc w:val="left"/>
      </w:pPr>
    </w:p>
    <w:p>
      <w:pPr>
        <w:spacing w:before="280" w:after="80"/>
        <w:jc w:val="left"/>
        <w:pBdr>
          <w:bottom w:val="single" w:sz="6" w:space="4" w:color="E65100"/>
        </w:pBdr>
      </w:pPr>
      <w:r>
        <w:rPr>
          <w:b/>
          <w:color w:val="1A3A6B"/>
          <w:sz w:val="28"/>
        </w:rPr>
        <w:t>5. Condizioni Economiche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</w:tcPr>
          <w:p>
            <w:pPr>
              <w:spacing w:before="200"/>
              <w:jc w:val="center"/>
            </w:pPr>
            <w:r>
              <w:rPr>
                <w:b/>
                <w:color w:val="E65100"/>
                <w:sz w:val="36"/>
              </w:rPr>
              <w:t>ADESIONE GRATUITA</w:t>
            </w:r>
          </w:p>
          <w:p>
            <w:pPr>
              <w:spacing w:after="200"/>
              <w:jc w:val="center"/>
            </w:pPr>
            <w:r>
              <w:rPr>
                <w:color w:val="1A3A6B"/>
                <w:sz w:val="20"/>
              </w:rPr>
              <w:t>Nessuna quota di ingresso · Nessuna commissione sulle vendite</w:t>
            </w:r>
          </w:p>
        </w:tc>
      </w:tr>
    </w:tbl>
    <w:p>
      <w:pPr>
        <w:spacing w:before="0" w:after="120"/>
        <w:jc w:val="left"/>
      </w:pPr>
    </w:p>
    <w:p>
      <w:pPr>
        <w:spacing w:before="0" w:after="80"/>
        <w:jc w:val="left"/>
      </w:pPr>
      <w:r>
        <w:rPr>
          <w:b w:val="0"/>
          <w:sz w:val="20"/>
        </w:rPr>
        <w:t>La partnership ha durata annuale (stagione sportiva 2025/2026) e si rinnova automaticamente salvo disdetta da comunicare con almeno 15 giorni di preavviso prima della scadenza.</w:t>
      </w:r>
    </w:p>
    <w:p>
      <w:pPr>
        <w:spacing w:before="0" w:after="80"/>
        <w:jc w:val="left"/>
      </w:pPr>
      <w:r>
        <w:rPr>
          <w:b w:val="0"/>
          <w:sz w:val="20"/>
        </w:rPr>
        <w:t>Eventuali iniziative promozionali congiunte (es. sponsorizzazione evento, gadget co-branded) saranno concordate separatamente con preventivo approvato da entrambe le parti.</w:t>
      </w:r>
    </w:p>
    <w:p>
      <w:pPr>
        <w:spacing w:before="0" w:after="120"/>
        <w:jc w:val="left"/>
      </w:pPr>
    </w:p>
    <w:p>
      <w:pPr>
        <w:spacing w:before="280" w:after="80"/>
        <w:jc w:val="left"/>
        <w:pBdr>
          <w:bottom w:val="single" w:sz="6" w:space="4" w:color="E65100"/>
        </w:pBdr>
      </w:pPr>
      <w:r>
        <w:rPr>
          <w:b/>
          <w:color w:val="1A3A6B"/>
          <w:sz w:val="28"/>
        </w:rPr>
        <w:t>6. Privacy e Trattamento dei Dati</w:t>
      </w:r>
    </w:p>
    <w:p>
      <w:pPr>
        <w:spacing w:before="0" w:after="80"/>
        <w:jc w:val="left"/>
      </w:pPr>
      <w:r>
        <w:rPr>
          <w:b w:val="0"/>
          <w:sz w:val="20"/>
        </w:rPr>
        <w:t>La Virtus Molfetta tratterà i dati del Partner esclusivamente per finalità connesse all'esecuzione della presente collaborazione, nel rispetto del Regolamento UE 2016/679 (GDPR) e della normativa italiana in materia di protezione dei dati personali. I dati non saranno ceduti a terzi senza previo consenso scritto.</w:t>
      </w:r>
    </w:p>
    <w:p>
      <w:pPr>
        <w:spacing w:before="0" w:after="120"/>
        <w:jc w:val="left"/>
      </w:pPr>
    </w:p>
    <w:p>
      <w:pPr>
        <w:spacing w:before="280" w:after="80"/>
        <w:jc w:val="left"/>
        <w:pBdr>
          <w:bottom w:val="single" w:sz="6" w:space="4" w:color="E65100"/>
        </w:pBdr>
      </w:pPr>
      <w:r>
        <w:rPr>
          <w:b/>
          <w:color w:val="1A3A6B"/>
          <w:sz w:val="28"/>
        </w:rPr>
        <w:t>7. Accettazione e Firma</w:t>
      </w:r>
    </w:p>
    <w:p>
      <w:pPr>
        <w:spacing w:before="0" w:after="200"/>
        <w:jc w:val="left"/>
      </w:pPr>
      <w:r>
        <w:rPr>
          <w:b w:val="0"/>
          <w:sz w:val="20"/>
        </w:rPr>
        <w:t>Con la firma della presente proposta, le parti dichiarano di aver letto, compreso e accettato tutti i termini e le condizioni sopra descritti.</w:t>
      </w:r>
    </w:p>
    <w:p>
      <w:pPr>
        <w:spacing w:before="160" w:after="60"/>
        <w:jc w:val="left"/>
      </w:pPr>
      <w:r>
        <w:rPr>
          <w:b/>
          <w:color w:val="E65100"/>
          <w:sz w:val="22"/>
        </w:rPr>
        <w:t>Dati del Partner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5F5F5"/>
          </w:tcPr>
          <w:p>
            <w:pPr>
              <w:spacing w:before="80" w:after="80"/>
            </w:pPr>
            <w:r>
              <w:rPr>
                <w:b/>
                <w:color w:val="1A3A6B"/>
                <w:sz w:val="18"/>
              </w:rPr>
              <w:t>Ragione Sociale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80" w:after="80"/>
            </w:pPr>
            <w:r>
              <w:rPr>
                <w:b/>
                <w:color w:val="1A3A6B"/>
                <w:sz w:val="18"/>
              </w:rPr>
              <w:t>Partita IVA / C.F.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80" w:after="80"/>
            </w:pPr>
            <w:r>
              <w:rPr>
                <w:b/>
                <w:color w:val="1A3A6B"/>
                <w:sz w:val="18"/>
              </w:rPr>
              <w:t>Indirizzo sede legale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80" w:after="80"/>
            </w:pPr>
            <w:r>
              <w:rPr>
                <w:b/>
                <w:color w:val="1A3A6B"/>
                <w:sz w:val="18"/>
              </w:rPr>
              <w:t>Referente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pPr>
              <w:spacing w:before="80" w:after="80"/>
            </w:pPr>
            <w:r>
              <w:rPr>
                <w:b/>
                <w:color w:val="1A3A6B"/>
                <w:sz w:val="18"/>
              </w:rPr>
              <w:t>Email / Telefono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before="0" w:after="12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6B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2"/>
              </w:rPr>
              <w:t>Virtus Molfetta A.S.D.</w:t>
            </w:r>
          </w:p>
        </w:tc>
        <w:tc>
          <w:tcPr>
            <w:tcW w:type="dxa" w:w="4703"/>
            <w:shd w:val="clear" w:color="auto" w:fill="1A3A6B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2"/>
              </w:rPr>
              <w:t>CAB Tutela</w:t>
            </w:r>
          </w:p>
        </w:tc>
      </w:tr>
      <w:tr>
        <w:tc>
          <w:tcPr>
            <w:tcW w:type="dxa" w:w="4703"/>
          </w:tcPr>
          <w:p>
            <w:pPr>
              <w:spacing w:before="80" w:after="800"/>
            </w:pPr>
            <w:r>
              <w:rPr>
                <w:color w:val="444444"/>
                <w:sz w:val="18"/>
              </w:rPr>
              <w:t>Il Presidente</w:t>
            </w:r>
          </w:p>
        </w:tc>
        <w:tc>
          <w:tcPr>
            <w:tcW w:type="dxa" w:w="4703"/>
          </w:tcPr>
          <w:p>
            <w:pPr>
              <w:spacing w:before="80" w:after="800"/>
            </w:pPr>
            <w:r>
              <w:rPr>
                <w:color w:val="444444"/>
                <w:sz w:val="18"/>
              </w:rPr>
              <w:t>Il Rappresentante Legale</w:t>
            </w:r>
          </w:p>
        </w:tc>
      </w:tr>
      <w:tr>
        <w:tc>
          <w:tcPr>
            <w:tcW w:type="dxa" w:w="4703"/>
          </w:tcPr>
          <w:p>
            <w:pPr>
              <w:spacing w:before="80" w:after="120"/>
            </w:pPr>
            <w:r>
              <w:rPr>
                <w:sz w:val="20"/>
              </w:rPr>
              <w:t>Data e Firma: _______________________</w:t>
            </w:r>
          </w:p>
        </w:tc>
        <w:tc>
          <w:tcPr>
            <w:tcW w:type="dxa" w:w="4703"/>
          </w:tcPr>
          <w:p>
            <w:pPr>
              <w:spacing w:before="80" w:after="120"/>
            </w:pPr>
            <w:r>
              <w:rPr>
                <w:sz w:val="20"/>
              </w:rPr>
              <w:t>Data e Firma: _______________________</w:t>
            </w:r>
          </w:p>
        </w:tc>
      </w:tr>
    </w:tbl>
    <w:p>
      <w:pPr>
        <w:spacing w:before="0" w:after="120"/>
        <w:jc w:val="left"/>
      </w:pPr>
    </w:p>
    <w:p>
      <w:pPr>
        <w:spacing w:before="200" w:after="120"/>
        <w:jc w:val="center"/>
      </w:pPr>
      <w:r>
        <w:rPr>
          <w:b w:val="0"/>
          <w:color w:val="444444"/>
          <w:sz w:val="16"/>
        </w:rPr>
        <w:t>Virtus Molfetta A.S.D. · virtusfanmolfetta.com · info@virtus.app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