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RESTRICTED STOCK PURCHASE AGREEMENT</w:t>
      </w:r>
    </w:p>
    <w:p>
      <w:pPr>
        <w:jc w:val="center"/>
      </w:pPr>
      <w:r>
        <w:rPr>
          <w:i/>
          <w:color w:val="666666"/>
          <w:sz w:val="17"/>
        </w:rPr>
        <w:t>Revised 2026-10-07 (final) — incorporating Adviser’s 2026-10-07 comments and his final cleanup list; supersedes all earlier 2026-10-07 copies.</w:t>
      </w:r>
    </w:p>
    <w:p/>
    <w:p>
      <w:r>
        <w:t>Cinderella Corp., a Delaware corporation</w:t>
      </w:r>
    </w:p>
    <w:p>
      <w:r>
        <w:t>This Restricted Stock Purchase Agreement (this “Agreement”) is entered into as of ______, 2026 (the “Effective Date”) by and between Cinderella Corp., a Delaware corporation (the “Company”), and Ankur Jain (“Purchaser”).</w:t>
      </w:r>
    </w:p>
    <w:p>
      <w:r>
        <w:t>Completed for Ankur Jain pursuant to the Strategic Adviser Agreement dated ______, 2026. Share count reflects 4% of the Company’s fully-diluted capitalization as of the Effective Date, against 3,000,000 shares of Class B Common Stock held by the Founder and a pre-Seed fully-diluted total of 4,166,667 shares.</w:t>
      </w:r>
    </w:p>
    <w:p>
      <w:pPr>
        <w:spacing w:before="200"/>
      </w:pPr>
      <w:r>
        <w:rPr>
          <w:b/>
        </w:rPr>
        <w:t>1. PURCHASE AND SALE 1.1 Shares. The Company issues and sells to Purchaser, and Purchaser purchases, 166,667 shares of Class A Common Stock, par value $0.001 (the “Shares”), at a purchase price of $0.001 per Share, which the Board has determined in good faith to be the fair market value of a share of Class A Common Stock as of the Effective Date.</w:t>
      </w:r>
    </w:p>
    <w:p>
      <w:r>
        <w:rPr>
          <w:b/>
        </w:rPr>
        <w:t>1.2 Consideration.</w:t>
      </w:r>
      <w:r>
        <w:t xml:space="preserve"> Purchaser shall pay the aggregate purchase price in cash, by check, or — where the Board so determines and applicable law permits — in consideration of past or future services rendered to the Company, in each case as recorded in the Company’s books.</w:t>
      </w:r>
    </w:p>
    <w:p>
      <w:r>
        <w:rPr>
          <w:b/>
        </w:rPr>
        <w:t>1.3 Securities exemption.</w:t>
      </w:r>
      <w:r>
        <w:t xml:space="preserve"> The Shares are issued in a transaction exempt from registration under Section 4(a)(2) of the Securities Act of 1933, as amended, and Rule 506(b) of Regulation D thereunder. The Shares have not been registered and may not be transferred absent registration or an available exemption.</w:t>
      </w:r>
    </w:p>
    <w:p>
      <w:pPr>
        <w:spacing w:before="200"/>
      </w:pPr>
      <w:r>
        <w:rPr>
          <w:b/>
        </w:rPr>
        <w:t>2. VESTING 2.1 Schedule. The Shares vest in accordance with Schedule A. Shares that have vested are “Vested Shares”; all others are “Unvested Shares.”</w:t>
      </w:r>
    </w:p>
    <w:p>
      <w:r>
        <w:rPr>
          <w:b/>
        </w:rPr>
        <w:t>2.2 Service condition.</w:t>
      </w:r>
      <w:r>
        <w:t xml:space="preserve"> Except as expressly provided in Schedule A or in Purchaser’s separate written agreement with the Company, vesting is subject to Purchaser’s continuous service with the Company through each applicable vesting date.</w:t>
      </w:r>
    </w:p>
    <w:p>
      <w:r>
        <w:rPr>
          <w:b/>
        </w:rPr>
        <w:t>2.3 Acceleration.</w:t>
      </w:r>
      <w:r>
        <w:t xml:space="preserve"> Any acceleration of vesting provided in Purchaser’s separate written agreement with the Company is incorporated by reference and applies to the Shares.</w:t>
      </w:r>
    </w:p>
    <w:p>
      <w:r>
        <w:rPr>
          <w:b/>
        </w:rPr>
        <w:t>2.4 Milestone grants.</w:t>
      </w:r>
      <w:r>
        <w:t xml:space="preserve"> Where Schedule A identifies the Shares as a milestone grant, the Shares are issuable upon objective achievement of the applicable milestone as defined in Purchaser's separate written agreement with the Company, and are fully vested on issuance. Article 3 does not apply to such Shares. Issuance is not subject to any further determination, consent or discretion of the Company or the Board. Purchaser shall deliver written notice to the Company identifying the milestone achieved and the facts establishing achievement and attribution, and the Company shall issue the Shares within fifteen (15) business days following that notice. If the Company disputes achievement or attribution, it shall deliver written notice of the dispute, stating the grounds in reasonable detail, within ten (10) business days of Purchaser's notice; absent such timely notice the milestone is deemed achieved and attributable. The milestone definitions, the attribution requirement under Section 2.2(d) of that agreement, and the aggregate cap on equity issuable across milestones are governed exclusively by that agreement.</w:t>
      </w:r>
    </w:p>
    <w:p>
      <w:pPr>
        <w:spacing w:before="200"/>
      </w:pPr>
      <w:r>
        <w:rPr>
          <w:b/>
        </w:rPr>
        <w:t>3. REPURCHASE OPTION 3.1 Unvested Shares. On termination of Purchaser’s service with the Company for any reason, the Company has the option, exercisable for ninety (90) days following termination, to repurchase all or any portion of the Unvested Shares at the lower of (a) the price paid for them and (b) their fair market value as determined in good faith by the Board.</w:t>
      </w:r>
    </w:p>
    <w:p>
      <w:r>
        <w:rPr>
          <w:b/>
        </w:rPr>
        <w:t>3.2 Mechanics.</w:t>
      </w:r>
      <w:r>
        <w:t xml:space="preserve"> The Company may exercise the option by written notice, and may assign the option to any person it designates. On exercise, the Shares are deemed repurchased as of the notice date and Purchaser ceases to have any rights in them other than the right to receive the repurchase price.</w:t>
      </w:r>
    </w:p>
    <w:p>
      <w:r>
        <w:rPr>
          <w:b/>
        </w:rPr>
        <w:t>3.3 Other rights preserved.</w:t>
      </w:r>
      <w:r>
        <w:t xml:space="preserve"> Any repurchase, forfeiture or clawback right set forth in Purchaser’s separate written agreement with the Company applies in addition to this Article.</w:t>
      </w:r>
    </w:p>
    <w:p>
      <w:pPr>
        <w:spacing w:before="200"/>
      </w:pPr>
      <w:r>
        <w:rPr>
          <w:b/>
        </w:rPr>
        <w:t>4. TRANSFER RESTRICTIONS 4.1 Stockholders’ Agreement. The Shares are subject to the Stockholders’ Agreement, including its transfer restrictions, right of first refusal, co-sale and drag-along provisions. Purchaser is a party to the Stockholders’ Agreement or shall execute a joinder to it concurrently with this Agreement.</w:t>
      </w:r>
    </w:p>
    <w:p>
      <w:r>
        <w:rPr>
          <w:b/>
        </w:rPr>
        <w:t>4.2 Unvested Shares.</w:t>
      </w:r>
      <w:r>
        <w:t xml:space="preserve"> Unvested Shares may not be transferred under any circumstance other than to the Company.</w:t>
      </w:r>
    </w:p>
    <w:p>
      <w:pPr>
        <w:spacing w:before="200"/>
      </w:pPr>
      <w:r>
        <w:rPr>
          <w:b/>
        </w:rPr>
        <w:t>5. TAX 5.1 No 83(b) election applicable. The Shares are fully vested as of the Effective Date and are not subject to any repurchase option for unvested shares. The Shares are accordingly not substantially nonvested property within the meaning of Section 83 of the Internal Revenue Code, and no election under Section 83(b) of the Code is applicable to or required in respect of the Shares. This is consistent with Section 2.7 of Purchaser’s Strategic Adviser Agreement. Purchaser remains responsible for his own tax position and is advised to consult his own tax adviser; the Company makes no tax representation.</w:t>
      </w:r>
    </w:p>
    <w:p>
      <w:r>
        <w:rPr>
          <w:b/>
        </w:rPr>
        <w:t>5.2 Withholding.</w:t>
      </w:r>
      <w:r>
        <w:t xml:space="preserve"> The Company may withhold, or require payment of, applicable taxes as a condition to issuance or vesting.</w:t>
      </w:r>
    </w:p>
    <w:p>
      <w:pPr>
        <w:spacing w:before="200"/>
      </w:pPr>
      <w:r>
        <w:rPr>
          <w:b/>
        </w:rPr>
        <w:t>6. MARKET STAND-OFF 6.1 Lock-up. If requested by the managing underwriter of an initial public offering of the Company, Purchaser will not sell, transfer or otherwise dispose of any securities of the Company for such period following the offering as the underwriter requests, not to exceed one hundred eighty (180) days and no longer than the shortest period required of any other holder.</w:t>
      </w:r>
    </w:p>
    <w:p>
      <w:pPr>
        <w:spacing w:before="200"/>
      </w:pPr>
      <w:r>
        <w:rPr>
          <w:b/>
        </w:rPr>
        <w:t>7. LEGENDS 7.1 Legends. Certificates or book-entry positions representing the Shares bear legends referencing the restrictions of the Securities Act, this Agreement, and the Stockholders’ Agreement.</w:t>
      </w:r>
    </w:p>
    <w:p>
      <w:pPr>
        <w:spacing w:before="200"/>
      </w:pPr>
      <w:r>
        <w:rPr>
          <w:b/>
        </w:rPr>
        <w:t>8. REPRESENTATIONS OF PURCHASER 8.1 Representations. Purchaser represents that: (a) Purchaser is acquiring the Shares for Purchaser’s own account, for investment, and not with a view to distribution; (b) Purchaser can bear the economic risk of the investment, including its total loss; (c) Purchaser has had the opportunity to ask questions of the Company and to consult independent legal and tax counsel; and (d) Purchaser understands the Shares are illiquid, subject to vesting and repurchase, and may never have any value.</w:t>
      </w:r>
    </w:p>
    <w:p>
      <w:pPr>
        <w:spacing w:before="200"/>
      </w:pPr>
      <w:r>
        <w:rPr>
          <w:b/>
        </w:rPr>
        <w:t>9. GENERAL 9.1 Governing law. Delaware law governs, without regard to conflicts of law principles; the Court of Chancery of the State of Delaware has exclusive jurisdiction.</w:t>
      </w:r>
    </w:p>
    <w:p>
      <w:r>
        <w:rPr>
          <w:b/>
        </w:rPr>
        <w:t>9.2 Entire agreement.</w:t>
      </w:r>
      <w:r>
        <w:t xml:space="preserve"> This Agreement, together with the Stockholders’ Agreement and Purchaser’s separate written agreement with the Company, constitutes the entire agreement as to its subject matter. In the event of a conflict as to vesting, acceleration, forfeiture or repurchase, Purchaser’s separate written agreement controls.</w:t>
      </w:r>
    </w:p>
    <w:p>
      <w:r>
        <w:rPr>
          <w:b/>
        </w:rPr>
        <w:t>9.3 Miscellaneous.</w:t>
      </w:r>
      <w:r>
        <w:t xml:space="preserve"> Amendments in writing signed by both parties. Purchaser may not assign. Counterparts and electronic signature permitted. If any provision is held unenforceable, the remainder continues in full force.</w:t>
      </w:r>
    </w:p>
    <w:p>
      <w:r>
        <w:t>[Remainder of page intentionally left blank]</w:t>
      </w:r>
    </w:p>
    <w:p>
      <w:r>
        <w:t>IN WITNESS WHEREOF, the parties have executed this Restricted Stock Purchase Agreement as of the date first above written.</w:t>
      </w:r>
    </w:p>
    <w:p>
      <w:r>
        <w:t>COMPANY:</w:t>
      </w:r>
    </w:p>
    <w:p>
      <w:r>
        <w:t>CINDERELLA CORP. ____________________________________________</w:t>
      </w:r>
    </w:p>
    <w:p>
      <w:r>
        <w:t>Name: Norman C. de Silva</w:t>
      </w:r>
    </w:p>
    <w:p>
      <w:r>
        <w:t>Title: Founder &amp; Chief Executive Officer</w:t>
      </w:r>
    </w:p>
    <w:p>
      <w:r>
        <w:t>PURCHASER:</w:t>
      </w:r>
    </w:p>
    <w:p>
      <w:r>
        <w:t>____________________________________________ Ankur Jain</w:t>
      </w:r>
    </w:p>
    <w:p>
      <w:r>
        <w:t>Address: ____________________________________</w:t>
      </w:r>
    </w:p>
    <w:p>
      <w:r>
        <w:t>Email: ankur08@gmail.com</w:t>
      </w:r>
    </w:p>
    <w:p>
      <w:r>
        <w:t>SCHEDULE A — VESTING</w:t>
      </w:r>
    </w:p>
    <w:p>
      <w:r>
        <w:t>Purchaser: Ankur Jain</w:t>
      </w:r>
    </w:p>
    <w:p>
      <w:r>
        <w:t>Number of Shares: 166,667 shares of Class A Common Stock</w:t>
      </w:r>
    </w:p>
    <w:p>
      <w:r>
        <w:t>Purchase price per Share: $0.001 (Board-determined fair market value as of the Effective Date)</w:t>
      </w:r>
    </w:p>
    <w:p>
      <w:r>
        <w:t>Percentage of the Company: 4.000% of the fully-diluted capitalization as of the Effective Date. The pre-Seed fully-diluted total is 4,166,667 shares, comprising 3,000,000 shares of Class B Common Stock held by the Founder, 833,333 shares of Class A Common Stock held by Sunjay Mathews, the 166,667 Shares issued hereunder, and 166,667 shares of Class A Common Stock held by one further adviser. 166,667 ÷ 4,166,667 = 4.0000%.</w:t>
      </w:r>
    </w:p>
    <w:p>
      <w:r>
        <w:t>Vesting commencement date: Not applicable</w:t>
      </w:r>
    </w:p>
    <w:p>
      <w:r>
        <w:t>Vesting schedule: • Fully vested on the Effective Date. No repurchase option applies, and Article 3 of this Agreement does not apply to the Shares, per Section 2.1 of the Strategic Adviser Agreement.</w:t>
      </w:r>
    </w:p>
    <w:p>
      <w:r>
        <w:t>Seed Round top-up: • Under Section 2.4 of the Strategic Adviser Agreement, at the closing of the Seed Round the Company will issue Purchaser, for no additional consideration, such additional shares of Class A Common Stock as are necessary for the Shares to represent 4% of the fully-diluted capitalization immediately following that closing. The top-up shares are fully vested on issuance and are treated as Shares under this Agreement. The actual number is whatever is required to produce 4%, and is subject to rounding. ILLUSTRATION ONLY — the Seed Round is an offering of up to $1,500,000 of Class A Common Stock at $2.025 per share with no minimum aggregate raise, so the figures below assume the full amount is sold and will differ if less is sold. On that assumption the Seed Round issues 740,740 shares, being $1,500,000 ÷ $2.025 = 740,740.74 rounded down to a whole share; 740,740 shares at $2.025 is $1,499,998.50, so $1.50 of the $1,500,000 is unsubscribed as a result of the round-down. The top-up is then 30,864 shares, bringing Purchaser to 197,531 shares of a 4,938,271-share fully-diluted total (4.000%); and the post-Seed capitalization is Founder 3,000,000 (60.750%), Sunjay Mathews 833,333 (16.875%), Purchaser 197,531 (4.000%), the further adviser 166,667 (3.375%) and the Seed Round 740,740 (15.000%), totalling 4,938,271 shares and 100.000%. For a Seed Round of $X, the shares sold are X ÷ $2.025 rounded down to a whole share (S), and Purchaser’s post-Seed total is (4,000,000 + S) ÷ 24, rounded up to a whole share so that four percent (4%) is actually reached.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