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Times New Roman" w:cs="Times New Roman" w:eastAsia="Times New Roman" w:hAnsi="Times New Roman"/>
          <w:b/>
          <w:bCs/>
          <w:i w:val="false"/>
          <w:iCs w:val="false"/>
          <w:sz w:val="22"/>
          <w:szCs w:val="22"/>
        </w:rPr>
        <w:t xml:space="preserve">DRAFT — FOR DISCUSSION ONLY — NOT LEGAL ADVICE</w:t>
      </w:r>
    </w:p>
    <w:p>
      <w:pPr>
        <w:spacing w:after="80"/>
      </w:pPr>
      <w:r>
        <w:rPr>
          <w:rFonts w:ascii="Times New Roman" w:cs="Times New Roman" w:eastAsia="Times New Roman" w:hAnsi="Times New Roman"/>
          <w:b w:val="false"/>
          <w:bCs w:val="false"/>
          <w:i/>
          <w:iCs/>
          <w:sz w:val="22"/>
          <w:szCs w:val="22"/>
        </w:rPr>
        <w:t>Revised 2026-10-07 — equity percentage, share count, purchase price, vesting term, acceleration, securities exemption, notice periods, non-circumvention carve-out and venue all settled; conformed to the Restricted Stock Purchase Agreement of even date. Entity: Cinderella Corp., a Delaware corporation.</w:t>
      </w:r>
      <w:r>
        <w:rPr>
          <w:rFonts w:ascii="Times New Roman" w:cs="Times New Roman" w:eastAsia="Times New Roman" w:hAnsi="Times New Roman"/>
          <w:b/>
          <w:bCs/>
          <w:i/>
          <w:iCs/>
          <w:sz w:val="22"/>
          <w:szCs w:val="22"/>
        </w:rPr>
      </w:r>
      <w:r>
        <w:rPr>
          <w:rFonts w:ascii="Times New Roman" w:cs="Times New Roman" w:eastAsia="Times New Roman" w:hAnsi="Times New Roman"/>
          <w:b w:val="false"/>
          <w:bCs w:val="false"/>
          <w:i/>
          <w:iCs/>
          <w:sz w:val="22"/>
          <w:szCs w:val="22"/>
        </w:rPr>
      </w:r>
      <w:r>
        <w:rPr>
          <w:rFonts w:ascii="Times New Roman" w:cs="Times New Roman" w:eastAsia="Times New Roman" w:hAnsi="Times New Roman"/>
          <w:b/>
          <w:bCs/>
          <w:i/>
          <w:iCs/>
          <w:sz w:val="22"/>
          <w:szCs w:val="22"/>
        </w:rPr>
      </w:r>
      <w:r>
        <w:rPr>
          <w:rFonts w:ascii="Times New Roman" w:cs="Times New Roman" w:eastAsia="Times New Roman" w:hAnsi="Times New Roman"/>
          <w:b w:val="false"/>
          <w:bCs w:val="false"/>
          <w:i/>
          <w:iCs/>
          <w:sz w:val="22"/>
          <w:szCs w:val="22"/>
        </w:rPr>
      </w:r>
      <w:r>
        <w:rPr>
          <w:rFonts w:ascii="Times New Roman" w:cs="Times New Roman" w:eastAsia="Times New Roman" w:hAnsi="Times New Roman"/>
          <w:b/>
          <w:bCs/>
          <w:i/>
          <w:iCs/>
          <w:sz w:val="22"/>
          <w:szCs w:val="22"/>
        </w:rPr>
      </w:r>
      <w:r>
        <w:rPr>
          <w:rFonts w:ascii="Times New Roman" w:cs="Times New Roman" w:eastAsia="Times New Roman" w:hAnsi="Times New Roman"/>
          <w:b w:val="false"/>
          <w:bCs w:val="false"/>
          <w:i/>
          <w:iCs/>
          <w:sz w:val="22"/>
          <w:szCs w:val="22"/>
        </w:rPr>
      </w:r>
    </w:p>
    <w:p>
      <w:pPr>
        <w:spacing w:after="60"/>
      </w:pPr>
      <w:r>
        <w:t xml:space="preserve"/>
      </w:r>
    </w:p>
    <w:p>
      <w:pPr>
        <w:pStyle w:val="Heading1"/>
        <w:spacing w:after="120" w:before="200"/>
      </w:pPr>
      <w:r>
        <w:rPr>
          <w:rFonts w:ascii="Times New Roman" w:cs="Times New Roman" w:eastAsia="Times New Roman" w:hAnsi="Times New Roman"/>
          <w:b w:val="false"/>
          <w:bCs w:val="false"/>
          <w:i w:val="false"/>
          <w:iCs w:val="false"/>
          <w:sz w:val="22"/>
          <w:szCs w:val="22"/>
        </w:rPr>
        <w:t xml:space="preserve">STRATEGIC ADVISER AGREEMENT</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This Strategic Adviser Agreement (this "</w:t>
      </w:r>
      <w:r>
        <w:rPr>
          <w:rFonts w:ascii="Times New Roman" w:cs="Times New Roman" w:eastAsia="Times New Roman" w:hAnsi="Times New Roman"/>
          <w:b/>
          <w:bCs/>
          <w:i w:val="false"/>
          <w:iCs w:val="false"/>
          <w:sz w:val="22"/>
          <w:szCs w:val="22"/>
        </w:rPr>
        <w:t xml:space="preserve">Agreement</w:t>
      </w:r>
      <w:r>
        <w:rPr>
          <w:rFonts w:ascii="Times New Roman" w:cs="Times New Roman" w:eastAsia="Times New Roman" w:hAnsi="Times New Roman"/>
          <w:b w:val="false"/>
          <w:bCs w:val="false"/>
          <w:i w:val="false"/>
          <w:iCs w:val="false"/>
          <w:sz w:val="22"/>
          <w:szCs w:val="22"/>
        </w:rPr>
        <w:t xml:space="preserve">") is entered into as of </w:t>
      </w:r>
      <w:r>
        <w:rPr>
          <w:rFonts w:ascii="Times New Roman" w:cs="Times New Roman" w:eastAsia="Times New Roman" w:hAnsi="Times New Roman"/>
          <w:b/>
          <w:bCs/>
          <w:i w:val="false"/>
          <w:iCs w:val="false"/>
          <w:sz w:val="22"/>
          <w:szCs w:val="22"/>
        </w:rPr>
        <w:t xml:space="preserve">[___</w:t>
      </w:r>
      <w:r>
        <w:rPr>
          <w:rFonts w:ascii="Times New Roman" w:cs="Times New Roman" w:eastAsia="Times New Roman" w:hAnsi="Times New Roman"/>
          <w:b/>
          <w:bCs/>
          <w:i/>
          <w:iCs/>
          <w:sz w:val="22"/>
          <w:szCs w:val="22"/>
        </w:rPr>
        <w:t xml:space="preserve">], 2026</w:t>
      </w:r>
      <w:r>
        <w:rPr>
          <w:rFonts w:ascii="Times New Roman" w:cs="Times New Roman" w:eastAsia="Times New Roman" w:hAnsi="Times New Roman"/>
          <w:b w:val="false"/>
          <w:bCs w:val="false"/>
          <w:i/>
          <w:iCs/>
          <w:sz w:val="22"/>
          <w:szCs w:val="22"/>
        </w:rPr>
        <w:t xml:space="preserve"> (the "</w:t>
      </w:r>
      <w:r>
        <w:rPr>
          <w:rFonts w:ascii="Times New Roman" w:cs="Times New Roman" w:eastAsia="Times New Roman" w:hAnsi="Times New Roman"/>
          <w:b/>
          <w:bCs/>
          <w:i/>
          <w:iCs/>
          <w:sz w:val="22"/>
          <w:szCs w:val="22"/>
        </w:rPr>
        <w:t xml:space="preserve">Effective Date</w:t>
      </w:r>
      <w:r>
        <w:rPr>
          <w:rFonts w:ascii="Times New Roman" w:cs="Times New Roman" w:eastAsia="Times New Roman" w:hAnsi="Times New Roman"/>
          <w:b w:val="false"/>
          <w:bCs w:val="false"/>
          <w:i/>
          <w:iCs/>
          <w:sz w:val="22"/>
          <w:szCs w:val="22"/>
        </w:rPr>
        <w:t xml:space="preserve">") by and between </w:t>
      </w:r>
      <w:r>
        <w:rPr>
          <w:rFonts w:ascii="Times New Roman" w:cs="Times New Roman" w:eastAsia="Times New Roman" w:hAnsi="Times New Roman"/>
          <w:b/>
          <w:bCs/>
          <w:i/>
          <w:iCs/>
          <w:sz w:val="22"/>
          <w:szCs w:val="22"/>
        </w:rPr>
        <w:t xml:space="preserve">Cinderella Corp.</w:t>
      </w:r>
      <w:r>
        <w:rPr>
          <w:rFonts w:ascii="Times New Roman" w:cs="Times New Roman" w:eastAsia="Times New Roman" w:hAnsi="Times New Roman"/>
          <w:b w:val="false"/>
          <w:bCs w:val="false"/>
          <w:i/>
          <w:iCs/>
          <w:sz w:val="22"/>
          <w:szCs w:val="22"/>
        </w:rPr>
        <w:t xml:space="preserve">, a Delaware corporation (the "</w:t>
      </w:r>
      <w:r>
        <w:rPr>
          <w:rFonts w:ascii="Times New Roman" w:cs="Times New Roman" w:eastAsia="Times New Roman" w:hAnsi="Times New Roman"/>
          <w:b/>
          <w:bCs/>
          <w:i/>
          <w:iCs/>
          <w:sz w:val="22"/>
          <w:szCs w:val="22"/>
        </w:rPr>
        <w:t xml:space="preserve">Company</w:t>
      </w:r>
      <w:r>
        <w:rPr>
          <w:rFonts w:ascii="Times New Roman" w:cs="Times New Roman" w:eastAsia="Times New Roman" w:hAnsi="Times New Roman"/>
          <w:b w:val="false"/>
          <w:bCs w:val="false"/>
          <w:i/>
          <w:iCs/>
          <w:sz w:val="22"/>
          <w:szCs w:val="22"/>
        </w:rPr>
        <w:t xml:space="preserve">"), and </w:t>
      </w:r>
      <w:r>
        <w:rPr>
          <w:rFonts w:ascii="Times New Roman" w:cs="Times New Roman" w:eastAsia="Times New Roman" w:hAnsi="Times New Roman"/>
          <w:b/>
          <w:bCs/>
          <w:i/>
          <w:iCs/>
          <w:sz w:val="22"/>
          <w:szCs w:val="22"/>
        </w:rPr>
        <w:t xml:space="preserve">Greg Kristof</w:t>
      </w:r>
      <w:r>
        <w:rPr>
          <w:rFonts w:ascii="Times New Roman" w:cs="Times New Roman" w:eastAsia="Times New Roman" w:hAnsi="Times New Roman"/>
          <w:b w:val="false"/>
          <w:bCs w:val="false"/>
          <w:i/>
          <w:iCs/>
          <w:sz w:val="22"/>
          <w:szCs w:val="22"/>
        </w:rPr>
        <w:t xml:space="preserve"> ("</w:t>
      </w:r>
      <w:r>
        <w:rPr>
          <w:rFonts w:ascii="Times New Roman" w:cs="Times New Roman" w:eastAsia="Times New Roman" w:hAnsi="Times New Roman"/>
          <w:b/>
          <w:bCs/>
          <w:i/>
          <w:iCs/>
          <w:sz w:val="22"/>
          <w:szCs w:val="22"/>
        </w:rPr>
        <w:t xml:space="preserve">Adviser</w:t>
      </w:r>
      <w:r>
        <w:rPr>
          <w:rFonts w:ascii="Times New Roman" w:cs="Times New Roman" w:eastAsia="Times New Roman" w:hAnsi="Times New Roman"/>
          <w:b w:val="false"/>
          <w:bCs w:val="false"/>
          <w:i/>
          <w:iCs/>
          <w:sz w:val="22"/>
          <w:szCs w:val="22"/>
        </w:rPr>
        <w:t xml:space="preserve">").</w:t>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1. Services</w:t>
      </w:r>
    </w:p>
    <w:p>
      <w:pPr>
        <w:spacing w:after="80"/>
      </w:pPr>
      <w:r>
        <w:rPr>
          <w:rFonts w:ascii="Times New Roman" w:cs="Times New Roman" w:eastAsia="Times New Roman" w:hAnsi="Times New Roman"/>
          <w:b w:val="false"/>
          <w:bCs w:val="false"/>
          <w:i w:val="false"/>
          <w:iCs w:val="false"/>
          <w:sz w:val="22"/>
          <w:szCs w:val="22"/>
        </w:rPr>
        <w:t xml:space="preserve">1.1 </w:t>
      </w:r>
      <w:r>
        <w:rPr>
          <w:rFonts w:ascii="Times New Roman" w:cs="Times New Roman" w:eastAsia="Times New Roman" w:hAnsi="Times New Roman"/>
          <w:b/>
          <w:bCs/>
          <w:i w:val="false"/>
          <w:iCs w:val="false"/>
          <w:sz w:val="22"/>
          <w:szCs w:val="22"/>
        </w:rPr>
        <w:t xml:space="preserve">Role.</w:t>
      </w:r>
      <w:r>
        <w:rPr>
          <w:rFonts w:ascii="Times New Roman" w:cs="Times New Roman" w:eastAsia="Times New Roman" w:hAnsi="Times New Roman"/>
          <w:b w:val="false"/>
          <w:bCs w:val="false"/>
          <w:i w:val="false"/>
          <w:iCs w:val="false"/>
          <w:sz w:val="22"/>
          <w:szCs w:val="22"/>
        </w:rPr>
        <w:t xml:space="preserve"> Adviser will serve as a </w:t>
      </w:r>
      <w:r>
        <w:rPr>
          <w:rFonts w:ascii="Times New Roman" w:cs="Times New Roman" w:eastAsia="Times New Roman" w:hAnsi="Times New Roman"/>
          <w:b/>
          <w:bCs/>
          <w:i w:val="false"/>
          <w:iCs w:val="false"/>
          <w:sz w:val="22"/>
          <w:szCs w:val="22"/>
        </w:rPr>
        <w:t xml:space="preserve">non-exclusive Strategic Adviser</w:t>
      </w:r>
      <w:r>
        <w:rPr>
          <w:rFonts w:ascii="Times New Roman" w:cs="Times New Roman" w:eastAsia="Times New Roman" w:hAnsi="Times New Roman"/>
          <w:b w:val="false"/>
          <w:bCs w:val="false"/>
          <w:i w:val="false"/>
          <w:iCs w:val="false"/>
          <w:sz w:val="22"/>
          <w:szCs w:val="22"/>
        </w:rPr>
        <w:t xml:space="preserve">, providing </w:t>
      </w:r>
      <w:r>
        <w:rPr>
          <w:rFonts w:ascii="Times New Roman" w:cs="Times New Roman" w:eastAsia="Times New Roman" w:hAnsi="Times New Roman"/>
          <w:b/>
          <w:bCs/>
          <w:i w:val="false"/>
          <w:iCs w:val="false"/>
          <w:sz w:val="22"/>
          <w:szCs w:val="22"/>
        </w:rPr>
        <w:t xml:space="preserve">strategic guidance and network access</w:t>
      </w:r>
      <w:r>
        <w:rPr>
          <w:rFonts w:ascii="Times New Roman" w:cs="Times New Roman" w:eastAsia="Times New Roman" w:hAnsi="Times New Roman"/>
          <w:b w:val="false"/>
          <w:bCs w:val="false"/>
          <w:i w:val="false"/>
          <w:iCs w:val="false"/>
          <w:sz w:val="22"/>
          <w:szCs w:val="22"/>
        </w:rPr>
        <w:t xml:space="preserve"> — including his basketball roster/NIL/coach/event network and general strategic input on the Company's playbook. Advisory and introductions only.</w:t>
      </w:r>
    </w:p>
    <w:p>
      <w:pPr>
        <w:spacing w:after="80"/>
      </w:pPr>
      <w:r>
        <w:rPr>
          <w:rFonts w:ascii="Times New Roman" w:cs="Times New Roman" w:eastAsia="Times New Roman" w:hAnsi="Times New Roman"/>
          <w:b w:val="false"/>
          <w:bCs w:val="false"/>
          <w:i w:val="false"/>
          <w:iCs w:val="false"/>
          <w:sz w:val="22"/>
          <w:szCs w:val="22"/>
        </w:rPr>
        <w:t xml:space="preserve">1.2 </w:t>
      </w:r>
      <w:r>
        <w:rPr>
          <w:rFonts w:ascii="Times New Roman" w:cs="Times New Roman" w:eastAsia="Times New Roman" w:hAnsi="Times New Roman"/>
          <w:b/>
          <w:bCs/>
          <w:i w:val="false"/>
          <w:iCs w:val="false"/>
          <w:sz w:val="22"/>
          <w:szCs w:val="22"/>
        </w:rPr>
        <w:t xml:space="preserve">Limits.</w:t>
      </w:r>
      <w:r>
        <w:rPr>
          <w:rFonts w:ascii="Times New Roman" w:cs="Times New Roman" w:eastAsia="Times New Roman" w:hAnsi="Times New Roman"/>
          <w:b w:val="false"/>
          <w:bCs w:val="false"/>
          <w:i w:val="false"/>
          <w:iCs w:val="false"/>
          <w:sz w:val="22"/>
          <w:szCs w:val="22"/>
        </w:rPr>
        <w:t xml:space="preserve"> Adviser is </w:t>
      </w:r>
      <w:r>
        <w:rPr>
          <w:rFonts w:ascii="Times New Roman" w:cs="Times New Roman" w:eastAsia="Times New Roman" w:hAnsi="Times New Roman"/>
          <w:b/>
          <w:bCs/>
          <w:i w:val="false"/>
          <w:iCs w:val="false"/>
          <w:sz w:val="22"/>
          <w:szCs w:val="22"/>
        </w:rPr>
        <w:t xml:space="preserve">not an officer, director, employee, or agent</w:t>
      </w:r>
      <w:r>
        <w:rPr>
          <w:rFonts w:ascii="Times New Roman" w:cs="Times New Roman" w:eastAsia="Times New Roman" w:hAnsi="Times New Roman"/>
          <w:b w:val="false"/>
          <w:bCs w:val="false"/>
          <w:i w:val="false"/>
          <w:iCs w:val="false"/>
          <w:sz w:val="22"/>
          <w:szCs w:val="22"/>
        </w:rPr>
        <w:t xml:space="preserve">, has </w:t>
      </w:r>
      <w:r>
        <w:rPr>
          <w:rFonts w:ascii="Times New Roman" w:cs="Times New Roman" w:eastAsia="Times New Roman" w:hAnsi="Times New Roman"/>
          <w:b/>
          <w:bCs/>
          <w:i w:val="false"/>
          <w:iCs w:val="false"/>
          <w:sz w:val="22"/>
          <w:szCs w:val="22"/>
        </w:rPr>
        <w:t xml:space="preserve">no authority to bind</w:t>
      </w:r>
      <w:r>
        <w:rPr>
          <w:rFonts w:ascii="Times New Roman" w:cs="Times New Roman" w:eastAsia="Times New Roman" w:hAnsi="Times New Roman"/>
          <w:b w:val="false"/>
          <w:bCs w:val="false"/>
          <w:i w:val="false"/>
          <w:iCs w:val="false"/>
          <w:sz w:val="22"/>
          <w:szCs w:val="22"/>
        </w:rPr>
        <w:t xml:space="preserve"> the Company, and will </w:t>
      </w:r>
      <w:r>
        <w:rPr>
          <w:rFonts w:ascii="Times New Roman" w:cs="Times New Roman" w:eastAsia="Times New Roman" w:hAnsi="Times New Roman"/>
          <w:b/>
          <w:bCs/>
          <w:i w:val="false"/>
          <w:iCs w:val="false"/>
          <w:sz w:val="22"/>
          <w:szCs w:val="22"/>
        </w:rPr>
        <w:t xml:space="preserve">not execute, negotiate to close, or sign</w:t>
      </w:r>
      <w:r>
        <w:rPr>
          <w:rFonts w:ascii="Times New Roman" w:cs="Times New Roman" w:eastAsia="Times New Roman" w:hAnsi="Times New Roman"/>
          <w:b w:val="false"/>
          <w:bCs w:val="false"/>
          <w:i w:val="false"/>
          <w:iCs w:val="false"/>
          <w:sz w:val="22"/>
          <w:szCs w:val="22"/>
        </w:rPr>
        <w:t xml:space="preserve"> agreements on the Company's behalf. Deal execution rests with the Company.</w:t>
      </w:r>
    </w:p>
    <w:p>
      <w:pPr>
        <w:spacing w:after="80"/>
      </w:pPr>
      <w:r>
        <w:rPr>
          <w:rFonts w:ascii="Times New Roman" w:cs="Times New Roman" w:eastAsia="Times New Roman" w:hAnsi="Times New Roman"/>
          <w:b w:val="false"/>
          <w:bCs w:val="false"/>
          <w:i w:val="false"/>
          <w:iCs w:val="false"/>
          <w:sz w:val="22"/>
          <w:szCs w:val="22"/>
        </w:rPr>
        <w:t xml:space="preserve">1.3 </w:t>
      </w:r>
      <w:r>
        <w:rPr>
          <w:rFonts w:ascii="Times New Roman" w:cs="Times New Roman" w:eastAsia="Times New Roman" w:hAnsi="Times New Roman"/>
          <w:b/>
          <w:bCs/>
          <w:i w:val="false"/>
          <w:iCs w:val="false"/>
          <w:sz w:val="22"/>
          <w:szCs w:val="22"/>
        </w:rPr>
        <w:t xml:space="preserve">Non-exclusive.</w:t>
      </w:r>
      <w:r>
        <w:rPr>
          <w:rFonts w:ascii="Times New Roman" w:cs="Times New Roman" w:eastAsia="Times New Roman" w:hAnsi="Times New Roman"/>
          <w:b w:val="false"/>
          <w:bCs w:val="false"/>
          <w:i w:val="false"/>
          <w:iCs w:val="false"/>
          <w:sz w:val="22"/>
          <w:szCs w:val="22"/>
        </w:rPr>
        <w:t xml:space="preserve"> Adviser may continue his own businesses (including Zero Gravity / 6th Sense) provided he complies with Sections 5–7.</w:t>
      </w:r>
    </w:p>
    <w:p>
      <w:pPr>
        <w:spacing w:after="80"/>
      </w:pPr>
      <w:r>
        <w:rPr>
          <w:rFonts w:ascii="Times New Roman" w:cs="Times New Roman" w:eastAsia="Times New Roman" w:hAnsi="Times New Roman"/>
          <w:b w:val="false"/>
          <w:bCs w:val="false"/>
          <w:i w:val="false"/>
          <w:iCs w:val="false"/>
          <w:sz w:val="22"/>
          <w:szCs w:val="22"/>
        </w:rPr>
        <w:t xml:space="preserve">1.4 </w:t>
      </w:r>
      <w:r>
        <w:rPr>
          <w:rFonts w:ascii="Times New Roman" w:cs="Times New Roman" w:eastAsia="Times New Roman" w:hAnsi="Times New Roman"/>
          <w:b/>
          <w:bCs/>
          <w:i w:val="false"/>
          <w:iCs w:val="false"/>
          <w:sz w:val="22"/>
          <w:szCs w:val="22"/>
        </w:rPr>
        <w:t xml:space="preserve">Time.</w:t>
      </w:r>
      <w:r>
        <w:rPr>
          <w:rFonts w:ascii="Times New Roman" w:cs="Times New Roman" w:eastAsia="Times New Roman" w:hAnsi="Times New Roman"/>
          <w:b w:val="false"/>
          <w:bCs w:val="false"/>
          <w:i w:val="false"/>
          <w:iCs w:val="false"/>
          <w:sz w:val="22"/>
          <w:szCs w:val="22"/>
        </w:rPr>
        <w:t xml:space="preserve"> No minimum hours; Adviser will make reasonable efforts to be available for periodic consultation.</w:t>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2. Compensation — Equity (only)</w:t>
      </w:r>
    </w:p>
    <w:p>
      <w:pPr>
        <w:spacing w:after="80"/>
      </w:pPr>
      <w:r>
        <w:rPr>
          <w:rFonts w:ascii="Times New Roman" w:cs="Times New Roman" w:eastAsia="Times New Roman" w:hAnsi="Times New Roman"/>
          <w:b w:val="false"/>
          <w:bCs w:val="false"/>
          <w:i w:val="false"/>
          <w:iCs w:val="false"/>
          <w:sz w:val="22"/>
          <w:szCs w:val="22"/>
        </w:rPr>
        <w:t>2.1 Restricted Stock Grant. As the sole compensation under this Agreement, the Company will grant Adviser four percent (4%) of the Company's Class A Common Stock (the "Shares"), measured on the fully-diluted capitalization of the Company immediately PRIOR to the Seed Round (i.e., pre-money / pre-Seed), issued as restricted stock under a Restricted Stock Purchase Agreement (the "RSPA") in the Company's standard form. The Shares are 166,667 shares of Class A Common Stock, being four percent (4%) of the pre-Seed fully-diluted total of 4,166,667 shares, at a purchase price of $0.001 per share, which the Board has determined in good faith to be the fair market value of a share of Class A Common Stock as of the Effective Date.</w:t>
      </w:r>
      <w:r>
        <w:rPr>
          <w:rFonts w:ascii="Times New Roman" w:cs="Times New Roman" w:eastAsia="Times New Roman" w:hAnsi="Times New Roman"/>
          <w:b/>
          <w:bCs/>
          <w:i w:val="false"/>
          <w:iCs w:val="false"/>
          <w:sz w:val="22"/>
          <w:szCs w:val="22"/>
        </w:rPr>
      </w:r>
      <w:r>
        <w:rPr>
          <w:rFonts w:ascii="Times New Roman" w:cs="Times New Roman" w:eastAsia="Times New Roman" w:hAnsi="Times New Roman"/>
          <w:b w:val="false"/>
          <w:bCs w:val="false"/>
          <w:i w:val="false"/>
          <w:iCs w:val="false"/>
          <w:sz w:val="22"/>
          <w:szCs w:val="22"/>
        </w:rPr>
      </w:r>
      <w:r>
        <w:rPr>
          <w:rFonts w:ascii="Times New Roman" w:cs="Times New Roman" w:eastAsia="Times New Roman" w:hAnsi="Times New Roman"/>
          <w:b/>
          <w:bCs/>
          <w:i w:val="false"/>
          <w:iCs w:val="false"/>
          <w:sz w:val="22"/>
          <w:szCs w:val="22"/>
        </w:rPr>
      </w:r>
      <w:r>
        <w:rPr>
          <w:rFonts w:ascii="Times New Roman" w:cs="Times New Roman" w:eastAsia="Times New Roman" w:hAnsi="Times New Roman"/>
          <w:b w:val="false"/>
          <w:bCs w:val="false"/>
          <w:i w:val="false"/>
          <w:iCs w:val="false"/>
          <w:sz w:val="22"/>
          <w:szCs w:val="22"/>
        </w:rPr>
      </w:r>
      <w:r>
        <w:rPr>
          <w:rFonts w:ascii="Times New Roman" w:cs="Times New Roman" w:eastAsia="Times New Roman" w:hAnsi="Times New Roman"/>
          <w:b/>
          <w:bCs/>
          <w:i w:val="false"/>
          <w:iCs w:val="false"/>
          <w:sz w:val="22"/>
          <w:szCs w:val="22"/>
        </w:rPr>
      </w:r>
      <w:r>
        <w:rPr>
          <w:rFonts w:ascii="Times New Roman" w:cs="Times New Roman" w:eastAsia="Times New Roman" w:hAnsi="Times New Roman"/>
          <w:b w:val="false"/>
          <w:bCs w:val="false"/>
          <w:i w:val="false"/>
          <w:iCs w:val="false"/>
          <w:sz w:val="22"/>
          <w:szCs w:val="22"/>
        </w:rPr>
      </w:r>
      <w:r>
        <w:rPr>
          <w:rFonts w:ascii="Times New Roman" w:cs="Times New Roman" w:eastAsia="Times New Roman" w:hAnsi="Times New Roman"/>
          <w:b/>
          <w:bCs/>
          <w:i w:val="false"/>
          <w:iCs w:val="false"/>
          <w:sz w:val="22"/>
          <w:szCs w:val="22"/>
        </w:rPr>
      </w:r>
      <w:r>
        <w:rPr>
          <w:rFonts w:ascii="Times New Roman" w:cs="Times New Roman" w:eastAsia="Times New Roman" w:hAnsi="Times New Roman"/>
          <w:b w:val="false"/>
          <w:bCs w:val="false"/>
          <w:i w:val="false"/>
          <w:iCs w:val="false"/>
          <w:sz w:val="22"/>
          <w:szCs w:val="22"/>
        </w:rPr>
      </w:r>
      <w:r>
        <w:rPr>
          <w:rFonts w:ascii="Times New Roman" w:cs="Times New Roman" w:eastAsia="Times New Roman" w:hAnsi="Times New Roman"/>
          <w:b/>
          <w:bCs/>
          <w:i w:val="false"/>
          <w:iCs w:val="false"/>
          <w:sz w:val="22"/>
          <w:szCs w:val="22"/>
        </w:rPr>
      </w:r>
      <w:r>
        <w:rPr>
          <w:rFonts w:ascii="Times New Roman" w:cs="Times New Roman" w:eastAsia="Times New Roman" w:hAnsi="Times New Roman"/>
          <w:b w:val="false"/>
          <w:bCs w:val="false"/>
          <w:i w:val="false"/>
          <w:iCs w:val="false"/>
          <w:sz w:val="22"/>
          <w:szCs w:val="22"/>
        </w:rPr>
      </w:r>
      <w:r>
        <w:rPr>
          <w:rFonts w:ascii="Times New Roman" w:cs="Times New Roman" w:eastAsia="Times New Roman" w:hAnsi="Times New Roman"/>
          <w:b/>
          <w:bCs/>
          <w:i w:val="false"/>
          <w:iCs w:val="false"/>
          <w:sz w:val="22"/>
          <w:szCs w:val="22"/>
        </w:rPr>
      </w:r>
      <w:r>
        <w:rPr>
          <w:rFonts w:ascii="Times New Roman" w:cs="Times New Roman" w:eastAsia="Times New Roman" w:hAnsi="Times New Roman"/>
          <w:b w:val="false"/>
          <w:bCs w:val="false"/>
          <w:i w:val="false"/>
          <w:iCs w:val="false"/>
          <w:sz w:val="22"/>
          <w:szCs w:val="22"/>
        </w:rPr>
      </w:r>
      <w:r>
        <w:rPr>
          <w:rFonts w:ascii="Times New Roman" w:cs="Times New Roman" w:eastAsia="Times New Roman" w:hAnsi="Times New Roman"/>
          <w:b/>
          <w:bCs/>
          <w:i w:val="false"/>
          <w:iCs w:val="false"/>
          <w:sz w:val="22"/>
          <w:szCs w:val="22"/>
        </w:rPr>
      </w:r>
      <w:r>
        <w:rPr>
          <w:rFonts w:ascii="Times New Roman" w:cs="Times New Roman" w:eastAsia="Times New Roman" w:hAnsi="Times New Roman"/>
          <w:b w:val="false"/>
          <w:bCs w:val="false"/>
          <w:i w:val="false"/>
          <w:iCs w:val="false"/>
          <w:sz w:val="22"/>
          <w:szCs w:val="22"/>
        </w:rPr>
      </w:r>
      <w:r>
        <w:rPr>
          <w:rFonts w:ascii="Times New Roman" w:cs="Times New Roman" w:eastAsia="Times New Roman" w:hAnsi="Times New Roman"/>
          <w:b/>
          <w:bCs/>
          <w:i w:val="false"/>
          <w:iCs w:val="false"/>
          <w:sz w:val="22"/>
          <w:szCs w:val="22"/>
        </w:rPr>
      </w:r>
    </w:p>
    <w:p>
      <w:pPr>
        <w:spacing w:after="80"/>
      </w:pPr>
      <w:r>
        <w:rPr>
          <w:rFonts w:ascii="Times New Roman" w:cs="Times New Roman" w:eastAsia="Times New Roman" w:hAnsi="Times New Roman"/>
          <w:b w:val="false"/>
          <w:bCs w:val="false"/>
          <w:i w:val="false"/>
          <w:iCs w:val="false"/>
          <w:sz w:val="22"/>
          <w:szCs w:val="22"/>
        </w:rPr>
        <w:t xml:space="preserve">2.2 Seed dilution applies. Because the Shares are measured pre-Seed, Adviser is diluted by the Seed Round on the same basis as the Founders. The Seed Round is an offering of up to $1,500,000 of Class A Common Stock at $2.025 per share, with no minimum aggregate raise, and may close for less than the full amount; Adviser's post-Seed percentage therefore cannot be fixed in advance. For illustration only, were the full amount sold, a 4% pre-Seed position would become approximately 3.375% (166,667 shares of a 4,938,272-share fully-diluted total). That figure is an illustration only and the actual percentage depends on the final size of the Seed Round. Adviser has </w:t>
      </w:r>
      <w:r>
        <w:rPr>
          <w:rFonts w:ascii="Times New Roman" w:cs="Times New Roman" w:eastAsia="Times New Roman" w:hAnsi="Times New Roman"/>
          <w:b/>
          <w:bCs/>
          <w:i w:val="false"/>
          <w:iCs w:val="false"/>
          <w:sz w:val="22"/>
          <w:szCs w:val="22"/>
        </w:rPr>
      </w:r>
      <w:r>
        <w:rPr>
          <w:rFonts w:ascii="Times New Roman" w:cs="Times New Roman" w:eastAsia="Times New Roman" w:hAnsi="Times New Roman"/>
          <w:b w:val="false"/>
          <w:bCs w:val="false"/>
          <w:i w:val="false"/>
          <w:iCs w:val="false"/>
          <w:sz w:val="22"/>
          <w:szCs w:val="22"/>
        </w:rPr>
      </w:r>
      <w:r>
        <w:rPr>
          <w:rFonts w:ascii="Times New Roman" w:cs="Times New Roman" w:eastAsia="Times New Roman" w:hAnsi="Times New Roman"/>
          <w:b/>
          <w:bCs/>
          <w:i w:val="false"/>
          <w:iCs w:val="false"/>
          <w:sz w:val="22"/>
          <w:szCs w:val="22"/>
        </w:rPr>
      </w:r>
      <w:r>
        <w:rPr>
          <w:rFonts w:ascii="Times New Roman" w:cs="Times New Roman" w:eastAsia="Times New Roman" w:hAnsi="Times New Roman"/>
          <w:b w:val="false"/>
          <w:bCs w:val="false"/>
          <w:i w:val="false"/>
          <w:iCs w:val="false"/>
          <w:sz w:val="22"/>
          <w:szCs w:val="22"/>
        </w:rPr>
      </w:r>
      <w:r>
        <w:rPr>
          <w:rFonts w:ascii="Times New Roman" w:cs="Times New Roman" w:eastAsia="Times New Roman" w:hAnsi="Times New Roman"/>
          <w:b/>
          <w:bCs/>
          <w:i w:val="false"/>
          <w:iCs w:val="false"/>
          <w:sz w:val="22"/>
          <w:szCs w:val="22"/>
        </w:rPr>
      </w:r>
      <w:r>
        <w:rPr>
          <w:rFonts w:ascii="Times New Roman" w:cs="Times New Roman" w:eastAsia="Times New Roman" w:hAnsi="Times New Roman"/>
          <w:b w:val="false"/>
          <w:bCs w:val="false"/>
          <w:i w:val="false"/>
          <w:iCs w:val="false"/>
          <w:sz w:val="22"/>
          <w:szCs w:val="22"/>
        </w:rPr>
      </w:r>
      <w:r>
        <w:rPr>
          <w:rFonts w:ascii="Times New Roman" w:cs="Times New Roman" w:eastAsia="Times New Roman" w:hAnsi="Times New Roman"/>
          <w:b/>
          <w:bCs/>
          <w:i w:val="false"/>
          <w:iCs w:val="false"/>
          <w:sz w:val="22"/>
          <w:szCs w:val="22"/>
        </w:rPr>
      </w:r>
      <w:r>
        <w:rPr>
          <w:rFonts w:ascii="Times New Roman" w:cs="Times New Roman" w:eastAsia="Times New Roman" w:hAnsi="Times New Roman"/>
          <w:b w:val="false"/>
          <w:bCs w:val="false"/>
          <w:i w:val="false"/>
          <w:iCs w:val="false"/>
          <w:sz w:val="22"/>
          <w:szCs w:val="22"/>
        </w:rPr>
      </w:r>
      <w:r>
        <w:rPr>
          <w:rFonts w:ascii="Times New Roman" w:cs="Times New Roman" w:eastAsia="Times New Roman" w:hAnsi="Times New Roman"/>
          <w:b/>
          <w:bCs/>
          <w:i w:val="false"/>
          <w:iCs w:val="false"/>
          <w:sz w:val="22"/>
          <w:szCs w:val="22"/>
        </w:rPr>
      </w:r>
      <w:r>
        <w:rPr>
          <w:rFonts w:ascii="Times New Roman" w:cs="Times New Roman" w:eastAsia="Times New Roman" w:hAnsi="Times New Roman"/>
          <w:b w:val="false"/>
          <w:bCs w:val="false"/>
          <w:i w:val="false"/>
          <w:iCs w:val="false"/>
          <w:sz w:val="22"/>
          <w:szCs w:val="22"/>
        </w:rPr>
      </w:r>
      <w:r>
        <w:rPr>
          <w:rFonts w:ascii="Times New Roman" w:cs="Times New Roman" w:eastAsia="Times New Roman" w:hAnsi="Times New Roman"/>
          <w:b/>
          <w:bCs/>
          <w:i w:val="false"/>
          <w:iCs w:val="false"/>
          <w:sz w:val="22"/>
          <w:szCs w:val="22"/>
        </w:rPr>
      </w:r>
      <w:r>
        <w:rPr>
          <w:rFonts w:ascii="Times New Roman" w:cs="Times New Roman" w:eastAsia="Times New Roman" w:hAnsi="Times New Roman"/>
          <w:b w:val="false"/>
          <w:bCs w:val="false"/>
          <w:i w:val="false"/>
          <w:iCs w:val="false"/>
          <w:sz w:val="22"/>
          <w:szCs w:val="22"/>
        </w:rPr>
      </w:r>
      <w:r>
        <w:rPr>
          <w:rFonts w:ascii="Times New Roman" w:cs="Times New Roman" w:eastAsia="Times New Roman" w:hAnsi="Times New Roman"/>
          <w:b/>
          <w:bCs/>
          <w:i w:val="false"/>
          <w:iCs w:val="false"/>
          <w:sz w:val="22"/>
          <w:szCs w:val="22"/>
        </w:rPr>
        <w:t xml:space="preserve">no anti-dilution protection</w:t>
      </w:r>
      <w:r>
        <w:rPr>
          <w:rFonts w:ascii="Times New Roman" w:cs="Times New Roman" w:eastAsia="Times New Roman" w:hAnsi="Times New Roman"/>
          <w:b w:val="false"/>
          <w:bCs w:val="false"/>
          <w:i w:val="false"/>
          <w:iCs w:val="false"/>
          <w:sz w:val="22"/>
          <w:szCs w:val="22"/>
        </w:rPr>
        <w:t xml:space="preserve"> with respect to the Seed Round or any subsequent issuance.</w:t>
      </w:r>
    </w:p>
    <w:p>
      <w:pPr>
        <w:spacing w:after="80"/>
      </w:pPr>
      <w:r>
        <w:rPr>
          <w:rFonts w:ascii="Times New Roman" w:cs="Times New Roman" w:eastAsia="Times New Roman" w:hAnsi="Times New Roman"/>
          <w:b w:val="false"/>
          <w:bCs w:val="false"/>
          <w:i w:val="false"/>
          <w:iCs w:val="false"/>
          <w:sz w:val="22"/>
          <w:szCs w:val="22"/>
        </w:rPr>
        <w:t>2.3 Vesting. The Shares vest in twenty-four (24) equal monthly installments of 6,944 Shares (the final installment 6,955 Shares) from the Effective Date, with no cliff, the first installment vesting on the last day of the first full calendar month following the Effective Date and each subsequent installment on the last day of each full calendar month thereafter, in each case subject to Adviser's continued service under this Agreement. No installment vests in respect of a partial calendar month. No acceleration of vesting applies, whether on termination of service or on a change of control.</w:t>
      </w:r>
      <w:r>
        <w:rPr>
          <w:rFonts w:ascii="Times New Roman" w:cs="Times New Roman" w:eastAsia="Times New Roman" w:hAnsi="Times New Roman"/>
          <w:b/>
          <w:bCs/>
          <w:i w:val="false"/>
          <w:iCs w:val="false"/>
          <w:sz w:val="22"/>
          <w:szCs w:val="22"/>
        </w:rPr>
      </w:r>
      <w:r>
        <w:rPr>
          <w:rFonts w:ascii="Times New Roman" w:cs="Times New Roman" w:eastAsia="Times New Roman" w:hAnsi="Times New Roman"/>
          <w:b w:val="false"/>
          <w:bCs w:val="false"/>
          <w:i w:val="false"/>
          <w:iCs w:val="false"/>
          <w:sz w:val="22"/>
          <w:szCs w:val="22"/>
        </w:rPr>
      </w:r>
      <w:r>
        <w:rPr>
          <w:rFonts w:ascii="Times New Roman" w:cs="Times New Roman" w:eastAsia="Times New Roman" w:hAnsi="Times New Roman"/>
          <w:b/>
          <w:bCs/>
          <w:i w:val="false"/>
          <w:iCs w:val="false"/>
          <w:sz w:val="22"/>
          <w:szCs w:val="22"/>
        </w:rPr>
      </w:r>
      <w:r>
        <w:rPr>
          <w:rFonts w:ascii="Times New Roman" w:cs="Times New Roman" w:eastAsia="Times New Roman" w:hAnsi="Times New Roman"/>
          <w:b w:val="false"/>
          <w:bCs w:val="false"/>
          <w:i w:val="false"/>
          <w:iCs w:val="false"/>
          <w:sz w:val="22"/>
          <w:szCs w:val="22"/>
        </w:rPr>
      </w:r>
      <w:r>
        <w:rPr>
          <w:rFonts w:ascii="Times New Roman" w:cs="Times New Roman" w:eastAsia="Times New Roman" w:hAnsi="Times New Roman"/>
          <w:b/>
          <w:bCs/>
          <w:i w:val="false"/>
          <w:iCs w:val="false"/>
          <w:sz w:val="22"/>
          <w:szCs w:val="22"/>
        </w:rPr>
      </w:r>
      <w:r>
        <w:rPr>
          <w:rFonts w:ascii="Times New Roman" w:cs="Times New Roman" w:eastAsia="Times New Roman" w:hAnsi="Times New Roman"/>
          <w:b w:val="false"/>
          <w:bCs w:val="false"/>
          <w:i w:val="false"/>
          <w:iCs w:val="false"/>
          <w:sz w:val="22"/>
          <w:szCs w:val="22"/>
        </w:rPr>
      </w:r>
      <w:r>
        <w:rPr>
          <w:rFonts w:ascii="Times New Roman" w:cs="Times New Roman" w:eastAsia="Times New Roman" w:hAnsi="Times New Roman"/>
          <w:b/>
          <w:bCs/>
          <w:i w:val="false"/>
          <w:iCs w:val="false"/>
          <w:sz w:val="22"/>
          <w:szCs w:val="22"/>
        </w:rPr>
      </w:r>
      <w:r>
        <w:rPr>
          <w:rFonts w:ascii="Times New Roman" w:cs="Times New Roman" w:eastAsia="Times New Roman" w:hAnsi="Times New Roman"/>
          <w:b w:val="false"/>
          <w:bCs w:val="false"/>
          <w:i w:val="false"/>
          <w:iCs w:val="false"/>
          <w:sz w:val="22"/>
          <w:szCs w:val="22"/>
        </w:rPr>
      </w:r>
      <w:r>
        <w:rPr>
          <w:rFonts w:ascii="Times New Roman" w:cs="Times New Roman" w:eastAsia="Times New Roman" w:hAnsi="Times New Roman"/>
          <w:b/>
          <w:bCs/>
          <w:i w:val="false"/>
          <w:iCs w:val="false"/>
          <w:sz w:val="22"/>
          <w:szCs w:val="22"/>
        </w:rPr>
      </w:r>
    </w:p>
    <w:p>
      <w:pPr>
        <w:spacing w:after="80"/>
      </w:pPr>
      <w:r>
        <w:rPr>
          <w:rFonts w:ascii="Times New Roman" w:cs="Times New Roman" w:eastAsia="Times New Roman" w:hAnsi="Times New Roman"/>
          <w:b w:val="false"/>
          <w:bCs w:val="false"/>
          <w:i w:val="false"/>
          <w:iCs w:val="false"/>
          <w:sz w:val="22"/>
          <w:szCs w:val="22"/>
        </w:rPr>
        <w:t>2.4 Forfeiture / Repurchase.</w:t>
      </w:r>
      <w:r>
        <w:rPr>
          <w:rFonts w:ascii="Times New Roman" w:cs="Times New Roman" w:eastAsia="Times New Roman" w:hAnsi="Times New Roman"/>
          <w:b/>
          <w:bCs/>
          <w:i w:val="false"/>
          <w:iCs w:val="false"/>
          <w:sz w:val="22"/>
          <w:szCs w:val="22"/>
        </w:rPr>
      </w:r>
      <w:r>
        <w:rPr>
          <w:rFonts w:ascii="Times New Roman" w:cs="Times New Roman" w:eastAsia="Times New Roman" w:hAnsi="Times New Roman"/>
          <w:b w:val="false"/>
          <w:bCs w:val="false"/>
          <w:i w:val="false"/>
          <w:iCs w:val="false"/>
          <w:sz w:val="22"/>
          <w:szCs w:val="22"/>
        </w:rPr>
        <w:t xml:space="preserve"> On termination, </w:t>
      </w:r>
      <w:r>
        <w:rPr>
          <w:rFonts w:ascii="Times New Roman" w:cs="Times New Roman" w:eastAsia="Times New Roman" w:hAnsi="Times New Roman"/>
          <w:b/>
          <w:bCs/>
          <w:i w:val="false"/>
          <w:iCs w:val="false"/>
          <w:sz w:val="22"/>
          <w:szCs w:val="22"/>
        </w:rPr>
        <w:t xml:space="preserve">unvested</w:t>
      </w:r>
      <w:r>
        <w:rPr>
          <w:rFonts w:ascii="Times New Roman" w:cs="Times New Roman" w:eastAsia="Times New Roman" w:hAnsi="Times New Roman"/>
          <w:b w:val="false"/>
          <w:bCs w:val="false"/>
          <w:i w:val="false"/>
          <w:iCs w:val="false"/>
          <w:sz w:val="22"/>
          <w:szCs w:val="22"/>
        </w:rPr>
        <w:t xml:space="preserve"> Shares are forfeited / subject to Company repurchase at the lower of cost or fair market value; </w:t>
      </w:r>
      <w:r>
        <w:rPr>
          <w:rFonts w:ascii="Times New Roman" w:cs="Times New Roman" w:eastAsia="Times New Roman" w:hAnsi="Times New Roman"/>
          <w:b/>
          <w:bCs/>
          <w:i w:val="false"/>
          <w:iCs w:val="false"/>
          <w:sz w:val="22"/>
          <w:szCs w:val="22"/>
        </w:rPr>
        <w:t xml:space="preserve">vested</w:t>
      </w:r>
      <w:r>
        <w:rPr>
          <w:rFonts w:ascii="Times New Roman" w:cs="Times New Roman" w:eastAsia="Times New Roman" w:hAnsi="Times New Roman"/>
          <w:b w:val="false"/>
          <w:bCs w:val="false"/>
          <w:i w:val="false"/>
          <w:iCs w:val="false"/>
          <w:sz w:val="22"/>
          <w:szCs w:val="22"/>
        </w:rPr>
        <w:t xml:space="preserve"> Shares are subject to the transfer restrictions and ROFR/co-sale in the Stockholders' Agreement.</w:t>
      </w:r>
    </w:p>
    <w:p>
      <w:pPr>
        <w:spacing w:after="80"/>
      </w:pPr>
      <w:r>
        <w:rPr>
          <w:rFonts w:ascii="Times New Roman" w:cs="Times New Roman" w:eastAsia="Times New Roman" w:hAnsi="Times New Roman"/>
          <w:b w:val="false"/>
          <w:bCs w:val="false"/>
          <w:i w:val="false"/>
          <w:iCs w:val="false"/>
          <w:sz w:val="22"/>
          <w:szCs w:val="22"/>
        </w:rPr>
        <w:t>2.5 Class A only.</w:t>
      </w:r>
      <w:r>
        <w:rPr>
          <w:rFonts w:ascii="Times New Roman" w:cs="Times New Roman" w:eastAsia="Times New Roman" w:hAnsi="Times New Roman"/>
          <w:b/>
          <w:bCs/>
          <w:i w:val="false"/>
          <w:iCs w:val="false"/>
          <w:sz w:val="22"/>
          <w:szCs w:val="22"/>
        </w:rPr>
      </w:r>
      <w:r>
        <w:rPr>
          <w:rFonts w:ascii="Times New Roman" w:cs="Times New Roman" w:eastAsia="Times New Roman" w:hAnsi="Times New Roman"/>
          <w:b w:val="false"/>
          <w:bCs w:val="false"/>
          <w:i w:val="false"/>
          <w:iCs w:val="false"/>
          <w:sz w:val="22"/>
          <w:szCs w:val="22"/>
        </w:rPr>
        <w:t xml:space="preserve"> The Shares are </w:t>
      </w:r>
      <w:r>
        <w:rPr>
          <w:rFonts w:ascii="Times New Roman" w:cs="Times New Roman" w:eastAsia="Times New Roman" w:hAnsi="Times New Roman"/>
          <w:b/>
          <w:bCs/>
          <w:i w:val="false"/>
          <w:iCs w:val="false"/>
          <w:sz w:val="22"/>
          <w:szCs w:val="22"/>
        </w:rPr>
        <w:t xml:space="preserve">Class A Common (1 vote/share)</w:t>
      </w:r>
      <w:r>
        <w:rPr>
          <w:rFonts w:ascii="Times New Roman" w:cs="Times New Roman" w:eastAsia="Times New Roman" w:hAnsi="Times New Roman"/>
          <w:b w:val="false"/>
          <w:bCs w:val="false"/>
          <w:i w:val="false"/>
          <w:iCs w:val="false"/>
          <w:sz w:val="22"/>
          <w:szCs w:val="22"/>
        </w:rPr>
        <w:t xml:space="preserve"> — Adviser does </w:t>
      </w:r>
      <w:r>
        <w:rPr>
          <w:rFonts w:ascii="Times New Roman" w:cs="Times New Roman" w:eastAsia="Times New Roman" w:hAnsi="Times New Roman"/>
          <w:b/>
          <w:bCs/>
          <w:i w:val="false"/>
          <w:iCs w:val="false"/>
          <w:sz w:val="22"/>
          <w:szCs w:val="22"/>
        </w:rPr>
        <w:t xml:space="preserve">not</w:t>
      </w:r>
      <w:r>
        <w:rPr>
          <w:rFonts w:ascii="Times New Roman" w:cs="Times New Roman" w:eastAsia="Times New Roman" w:hAnsi="Times New Roman"/>
          <w:b w:val="false"/>
          <w:bCs w:val="false"/>
          <w:i w:val="false"/>
          <w:iCs w:val="false"/>
          <w:sz w:val="22"/>
          <w:szCs w:val="22"/>
        </w:rPr>
        <w:t xml:space="preserve"> receive Class B / super-voting stock (which only Norman C. de Silva holds).</w:t>
      </w:r>
    </w:p>
    <w:p>
      <w:pPr>
        <w:spacing w:after="80"/>
      </w:pPr>
      <w:r>
        <w:rPr>
          <w:rFonts w:ascii="Times New Roman" w:cs="Times New Roman" w:eastAsia="Times New Roman" w:hAnsi="Times New Roman"/>
          <w:b w:val="false"/>
          <w:bCs w:val="false"/>
          <w:i w:val="false"/>
          <w:iCs w:val="false"/>
          <w:sz w:val="22"/>
          <w:szCs w:val="22"/>
        </w:rPr>
        <w:t>2.6 Tax / 83(b). The Shares are substantially nonvested property within the meaning of Section 83 of the Internal Revenue Code. Adviser is strongly advised to consult his own tax adviser and to consider filing an election under Section 83(b) of the Code with the Internal Revenue Service no later than thirty (30) days after the Effective Date. That thirty-day period is fixed by statute and cannot be extended by the Company or by the Internal Revenue Service for any reason. If no timely election is made, Adviser will generally recognize ordinary income on each vesting date equal to the then-current fair market value of the Shares vesting on that date less the price paid for them, rather than at the Effective Date when that value is lowest. The election is Adviser's sole responsibility and the Company has no obligation to file it on his behalf. The Shares are issued as compensation for bona fide services under this Agreement in reliance on the exemption from registration provided by Rule 701 under the Securities Act of 1933, as amended, and, to the extent Rule 701 is unavailable, in reliance on Section 4(a)(2) thereof. The Company makes no tax representation.</w:t>
      </w:r>
      <w:r>
        <w:rPr>
          <w:rFonts w:ascii="Times New Roman" w:cs="Times New Roman" w:eastAsia="Times New Roman" w:hAnsi="Times New Roman"/>
          <w:b/>
          <w:bCs/>
          <w:i w:val="false"/>
          <w:iCs w:val="false"/>
          <w:sz w:val="22"/>
          <w:szCs w:val="22"/>
        </w:rPr>
      </w:r>
      <w:r>
        <w:rPr>
          <w:rFonts w:ascii="Times New Roman" w:cs="Times New Roman" w:eastAsia="Times New Roman" w:hAnsi="Times New Roman"/>
          <w:b w:val="false"/>
          <w:bCs w:val="false"/>
          <w:i w:val="false"/>
          <w:iCs w:val="false"/>
          <w:sz w:val="22"/>
          <w:szCs w:val="22"/>
        </w:rPr>
      </w:r>
      <w:r>
        <w:rPr>
          <w:rFonts w:ascii="Times New Roman" w:cs="Times New Roman" w:eastAsia="Times New Roman" w:hAnsi="Times New Roman"/>
          <w:b/>
          <w:bCs/>
          <w:i w:val="false"/>
          <w:iCs w:val="false"/>
          <w:sz w:val="22"/>
          <w:szCs w:val="22"/>
        </w:rPr>
      </w:r>
      <w:r>
        <w:rPr>
          <w:rFonts w:ascii="Times New Roman" w:cs="Times New Roman" w:eastAsia="Times New Roman" w:hAnsi="Times New Roman"/>
          <w:b w:val="false"/>
          <w:bCs w:val="false"/>
          <w:i w:val="false"/>
          <w:iCs w:val="false"/>
          <w:sz w:val="22"/>
          <w:szCs w:val="22"/>
        </w:rPr>
      </w:r>
      <w:r>
        <w:rPr>
          <w:rFonts w:ascii="Times New Roman" w:cs="Times New Roman" w:eastAsia="Times New Roman" w:hAnsi="Times New Roman"/>
          <w:b/>
          <w:bCs/>
          <w:i w:val="false"/>
          <w:iCs w:val="false"/>
          <w:sz w:val="22"/>
          <w:szCs w:val="22"/>
        </w:rPr>
      </w:r>
    </w:p>
    <w:p>
      <w:pPr>
        <w:spacing w:after="80"/>
      </w:pPr>
      <w:r>
        <w:rPr>
          <w:rFonts w:ascii="Times New Roman" w:cs="Times New Roman" w:eastAsia="Times New Roman" w:hAnsi="Times New Roman"/>
          <w:b w:val="false"/>
          <w:bCs w:val="false"/>
          <w:i w:val="false"/>
          <w:iCs w:val="false"/>
          <w:sz w:val="22"/>
          <w:szCs w:val="22"/>
        </w:rPr>
        <w:t>2.7 No cash.</w:t>
      </w:r>
      <w:r>
        <w:rPr>
          <w:rFonts w:ascii="Times New Roman" w:cs="Times New Roman" w:eastAsia="Times New Roman" w:hAnsi="Times New Roman"/>
          <w:b/>
          <w:bCs/>
          <w:i w:val="false"/>
          <w:iCs w:val="false"/>
          <w:sz w:val="22"/>
          <w:szCs w:val="22"/>
        </w:rPr>
      </w:r>
      <w:r>
        <w:rPr>
          <w:rFonts w:ascii="Times New Roman" w:cs="Times New Roman" w:eastAsia="Times New Roman" w:hAnsi="Times New Roman"/>
          <w:b w:val="false"/>
          <w:bCs w:val="false"/>
          <w:i w:val="false"/>
          <w:iCs w:val="false"/>
          <w:sz w:val="22"/>
          <w:szCs w:val="22"/>
        </w:rPr>
        <w:t xml:space="preserve"> No cash fees are payable under this Agreement. Paid consulting services (from 2027) are governed by a separate Consulting Agreement.</w:t>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3. Independent Contractor</w:t>
      </w:r>
    </w:p>
    <w:p>
      <w:pPr>
        <w:spacing w:after="80"/>
      </w:pPr>
      <w:r>
        <w:rPr>
          <w:rFonts w:ascii="Times New Roman" w:cs="Times New Roman" w:eastAsia="Times New Roman" w:hAnsi="Times New Roman"/>
          <w:b w:val="false"/>
          <w:bCs w:val="false"/>
          <w:i w:val="false"/>
          <w:iCs w:val="false"/>
          <w:sz w:val="22"/>
          <w:szCs w:val="22"/>
        </w:rPr>
        <w:t xml:space="preserve">Adviser is an independent contractor, responsible for his own taxes, and is not entitled to employee benefits. Nothing creates a partnership, joint venture, or employment relationship.</w:t>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4. Term and Termination</w:t>
      </w:r>
    </w:p>
    <w:p>
      <w:pPr>
        <w:spacing w:after="80"/>
      </w:pPr>
      <w:r>
        <w:rPr>
          <w:rFonts w:ascii="Times New Roman" w:cs="Times New Roman" w:eastAsia="Times New Roman" w:hAnsi="Times New Roman"/>
          <w:b w:val="false"/>
          <w:bCs w:val="false"/>
          <w:i w:val="false"/>
          <w:iCs w:val="false"/>
          <w:sz w:val="22"/>
          <w:szCs w:val="22"/>
        </w:rPr>
        <w:t xml:space="preserve">4.1 </w:t>
      </w:r>
      <w:r>
        <w:rPr>
          <w:rFonts w:ascii="Times New Roman" w:cs="Times New Roman" w:eastAsia="Times New Roman" w:hAnsi="Times New Roman"/>
          <w:b/>
          <w:bCs/>
          <w:i w:val="false"/>
          <w:iCs w:val="false"/>
          <w:sz w:val="22"/>
          <w:szCs w:val="22"/>
        </w:rPr>
        <w:t xml:space="preserve">Term.</w:t>
      </w:r>
      <w:r>
        <w:rPr>
          <w:rFonts w:ascii="Times New Roman" w:cs="Times New Roman" w:eastAsia="Times New Roman" w:hAnsi="Times New Roman"/>
          <w:b w:val="false"/>
          <w:bCs w:val="false"/>
          <w:i w:val="false"/>
          <w:iCs w:val="false"/>
          <w:sz w:val="22"/>
          <w:szCs w:val="22"/>
        </w:rPr>
        <w:t xml:space="preserve"> Begins on the Effective Date and continues until terminated.</w:t>
      </w:r>
    </w:p>
    <w:p>
      <w:pPr>
        <w:spacing w:after="80"/>
      </w:pPr>
      <w:r>
        <w:rPr>
          <w:rFonts w:ascii="Times New Roman" w:cs="Times New Roman" w:eastAsia="Times New Roman" w:hAnsi="Times New Roman"/>
          <w:b w:val="false"/>
          <w:bCs w:val="false"/>
          <w:i w:val="false"/>
          <w:iCs w:val="false"/>
          <w:sz w:val="22"/>
          <w:szCs w:val="22"/>
        </w:rPr>
        <w:t>4.2 Termination. Either party may terminate on thirty (30) days' written notice (or immediately for material breach). Vesting stops on termination; Sections 5–8 survive.</w:t>
      </w:r>
      <w:r>
        <w:rPr>
          <w:rFonts w:ascii="Times New Roman" w:cs="Times New Roman" w:eastAsia="Times New Roman" w:hAnsi="Times New Roman"/>
          <w:b/>
          <w:bCs/>
          <w:i w:val="false"/>
          <w:iCs w:val="false"/>
          <w:sz w:val="22"/>
          <w:szCs w:val="22"/>
        </w:rPr>
      </w:r>
      <w:r>
        <w:rPr>
          <w:rFonts w:ascii="Times New Roman" w:cs="Times New Roman" w:eastAsia="Times New Roman" w:hAnsi="Times New Roman"/>
          <w:b w:val="false"/>
          <w:bCs w:val="false"/>
          <w:i w:val="false"/>
          <w:iCs w:val="false"/>
          <w:sz w:val="22"/>
          <w:szCs w:val="22"/>
        </w:rPr>
      </w:r>
      <w:r>
        <w:rPr>
          <w:rFonts w:ascii="Times New Roman" w:cs="Times New Roman" w:eastAsia="Times New Roman" w:hAnsi="Times New Roman"/>
          <w:b/>
          <w:bCs/>
          <w:i w:val="false"/>
          <w:iCs w:val="false"/>
          <w:sz w:val="22"/>
          <w:szCs w:val="22"/>
        </w:rPr>
      </w:r>
      <w:r>
        <w:rPr>
          <w:rFonts w:ascii="Times New Roman" w:cs="Times New Roman" w:eastAsia="Times New Roman" w:hAnsi="Times New Roman"/>
          <w:b w:val="false"/>
          <w:bCs w:val="false"/>
          <w:i w:val="false"/>
          <w:iCs w:val="false"/>
          <w:sz w:val="22"/>
          <w:szCs w:val="22"/>
        </w:rPr>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5. Confidentiality</w:t>
      </w:r>
    </w:p>
    <w:p>
      <w:pPr>
        <w:spacing w:after="80"/>
      </w:pPr>
      <w:r>
        <w:rPr>
          <w:rFonts w:ascii="Times New Roman" w:cs="Times New Roman" w:eastAsia="Times New Roman" w:hAnsi="Times New Roman"/>
          <w:b w:val="false"/>
          <w:bCs w:val="false"/>
          <w:i w:val="false"/>
          <w:iCs w:val="false"/>
          <w:sz w:val="22"/>
          <w:szCs w:val="22"/>
        </w:rPr>
        <w:t xml:space="preserve">Adviser will hold all non-public Company information in confidence, use it only for the Company's benefit, and return or destroy it on termination.</w:t>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6. Intellectual Property</w:t>
      </w:r>
    </w:p>
    <w:p>
      <w:pPr>
        <w:spacing w:after="80"/>
      </w:pPr>
      <w:r>
        <w:rPr>
          <w:rFonts w:ascii="Times New Roman" w:cs="Times New Roman" w:eastAsia="Times New Roman" w:hAnsi="Times New Roman"/>
          <w:b w:val="false"/>
          <w:bCs w:val="false"/>
          <w:i w:val="false"/>
          <w:iCs w:val="false"/>
          <w:sz w:val="22"/>
          <w:szCs w:val="22"/>
        </w:rPr>
        <w:t xml:space="preserve">Any work product, materials, concepts, or contributions Adviser creates for or delivers to the Company in connection with the services are </w:t>
      </w:r>
      <w:r>
        <w:rPr>
          <w:rFonts w:ascii="Times New Roman" w:cs="Times New Roman" w:eastAsia="Times New Roman" w:hAnsi="Times New Roman"/>
          <w:b/>
          <w:bCs/>
          <w:i w:val="false"/>
          <w:iCs w:val="false"/>
          <w:sz w:val="22"/>
          <w:szCs w:val="22"/>
        </w:rPr>
        <w:t xml:space="preserve">works made for hire / assigned to the Company</w:t>
      </w:r>
      <w:r>
        <w:rPr>
          <w:rFonts w:ascii="Times New Roman" w:cs="Times New Roman" w:eastAsia="Times New Roman" w:hAnsi="Times New Roman"/>
          <w:b w:val="false"/>
          <w:bCs w:val="false"/>
          <w:i w:val="false"/>
          <w:iCs w:val="false"/>
          <w:sz w:val="22"/>
          <w:szCs w:val="22"/>
        </w:rPr>
        <w:t xml:space="preserve">. Adviser's pre-existing and independent business IP (e.g., Zero Gravity) remains his.</w:t>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7. Non-Circumvention / Non-Solicitation</w:t>
      </w:r>
    </w:p>
    <w:p>
      <w:pPr>
        <w:spacing w:after="80"/>
      </w:pPr>
      <w:r>
        <w:rPr>
          <w:rFonts w:ascii="Times New Roman" w:cs="Times New Roman" w:eastAsia="Times New Roman" w:hAnsi="Times New Roman"/>
          <w:b w:val="false"/>
          <w:bCs w:val="false"/>
          <w:i w:val="false"/>
          <w:iCs w:val="false"/>
          <w:sz w:val="22"/>
          <w:szCs w:val="22"/>
        </w:rPr>
        <w:t>Consistent with the Company's non-circumvention framework, Adviser will not, during the term and for twenty-four (24) months after, circumvent the Company with respect to schools, celebrities, capital partners, sponsors, or other counterparties introduced through or in connection with the Company, nor solicit Company personnel. Nothing in this Section restricts Adviser from initiating, continuing or maintaining any personal or professional relationship with any person or entity, whenever and however that relationship arose, including any relationship arising through Zero Gravity, 6th Sense or any other business of Adviser permitted under Section 1.3. Adviser's obligations under Sections 5 and 6 continue to apply to Company confidential information and intellectual property in any such communication.</w:t>
      </w:r>
      <w:r>
        <w:rPr>
          <w:rFonts w:ascii="Times New Roman" w:cs="Times New Roman" w:eastAsia="Times New Roman" w:hAnsi="Times New Roman"/>
          <w:b/>
          <w:bCs/>
          <w:i w:val="false"/>
          <w:iCs w:val="false"/>
          <w:sz w:val="22"/>
          <w:szCs w:val="22"/>
        </w:rPr>
      </w:r>
      <w:r>
        <w:rPr>
          <w:rFonts w:ascii="Times New Roman" w:cs="Times New Roman" w:eastAsia="Times New Roman" w:hAnsi="Times New Roman"/>
          <w:b w:val="false"/>
          <w:bCs w:val="false"/>
          <w:i w:val="false"/>
          <w:iCs w:val="false"/>
          <w:sz w:val="22"/>
          <w:szCs w:val="22"/>
        </w:rPr>
      </w:r>
      <w:r>
        <w:rPr>
          <w:rFonts w:ascii="Times New Roman" w:cs="Times New Roman" w:eastAsia="Times New Roman" w:hAnsi="Times New Roman"/>
          <w:b/>
          <w:bCs/>
          <w:i w:val="false"/>
          <w:iCs w:val="false"/>
          <w:sz w:val="22"/>
          <w:szCs w:val="22"/>
        </w:rPr>
      </w:r>
      <w:r>
        <w:rPr>
          <w:rFonts w:ascii="Times New Roman" w:cs="Times New Roman" w:eastAsia="Times New Roman" w:hAnsi="Times New Roman"/>
          <w:b w:val="false"/>
          <w:bCs w:val="false"/>
          <w:i w:val="false"/>
          <w:iCs w:val="false"/>
          <w:sz w:val="22"/>
          <w:szCs w:val="22"/>
        </w:rPr>
      </w:r>
      <w:r>
        <w:rPr>
          <w:rFonts w:ascii="Times New Roman" w:cs="Times New Roman" w:eastAsia="Times New Roman" w:hAnsi="Times New Roman"/>
          <w:b/>
          <w:bCs/>
          <w:i w:val="false"/>
          <w:iCs w:val="false"/>
          <w:sz w:val="22"/>
          <w:szCs w:val="22"/>
        </w:rPr>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8. General</w:t>
      </w:r>
    </w:p>
    <w:p>
      <w:pPr>
        <w:spacing w:after="80"/>
      </w:pPr>
      <w:r>
        <w:rPr>
          <w:rFonts w:ascii="Times New Roman" w:cs="Times New Roman" w:eastAsia="Times New Roman" w:hAnsi="Times New Roman"/>
          <w:b w:val="false"/>
          <w:bCs w:val="false"/>
          <w:i w:val="false"/>
          <w:iCs w:val="false"/>
          <w:sz w:val="22"/>
          <w:szCs w:val="22"/>
        </w:rPr>
        <w:t>8.1 Governing law; jurisdiction. This Agreement is governed by the laws of the State of Delaware, without regard to its conflicts of laws principles. The Court of Chancery of the State of Delaware has exclusive jurisdiction over any dispute arising out of or relating to this Agreement (or, if that court lacks subject-matter jurisdiction, the federal or state courts located in the State of Delaware).</w:t>
      </w:r>
      <w:r>
        <w:rPr>
          <w:rFonts w:ascii="Times New Roman" w:cs="Times New Roman" w:eastAsia="Times New Roman" w:hAnsi="Times New Roman"/>
          <w:b/>
          <w:bCs/>
          <w:i w:val="false"/>
          <w:iCs w:val="false"/>
          <w:sz w:val="22"/>
          <w:szCs w:val="22"/>
        </w:rPr>
      </w:r>
      <w:r>
        <w:rPr>
          <w:rFonts w:ascii="Times New Roman" w:cs="Times New Roman" w:eastAsia="Times New Roman" w:hAnsi="Times New Roman"/>
          <w:b w:val="false"/>
          <w:bCs w:val="false"/>
          <w:i w:val="false"/>
          <w:iCs w:val="false"/>
          <w:sz w:val="22"/>
          <w:szCs w:val="22"/>
        </w:rPr>
      </w:r>
      <w:r>
        <w:rPr>
          <w:rFonts w:ascii="Times New Roman" w:cs="Times New Roman" w:eastAsia="Times New Roman" w:hAnsi="Times New Roman"/>
          <w:b/>
          <w:bCs/>
          <w:i w:val="false"/>
          <w:iCs w:val="false"/>
          <w:sz w:val="22"/>
          <w:szCs w:val="22"/>
        </w:rPr>
      </w:r>
    </w:p>
    <w:p>
      <w:pPr>
        <w:spacing w:after="80"/>
      </w:pPr>
      <w:r>
        <w:rPr>
          <w:rFonts w:ascii="Times New Roman" w:cs="Times New Roman" w:eastAsia="Times New Roman" w:hAnsi="Times New Roman"/>
          <w:b w:val="false"/>
          <w:bCs w:val="false"/>
          <w:i w:val="false"/>
          <w:iCs w:val="false"/>
          <w:sz w:val="22"/>
          <w:szCs w:val="22"/>
        </w:rPr>
        <w:t xml:space="preserve">8.2 </w:t>
      </w:r>
      <w:r>
        <w:rPr>
          <w:rFonts w:ascii="Times New Roman" w:cs="Times New Roman" w:eastAsia="Times New Roman" w:hAnsi="Times New Roman"/>
          <w:b/>
          <w:bCs/>
          <w:i w:val="false"/>
          <w:iCs w:val="false"/>
          <w:sz w:val="22"/>
          <w:szCs w:val="22"/>
        </w:rPr>
        <w:t xml:space="preserve">Entire Agreement.</w:t>
      </w:r>
      <w:r>
        <w:rPr>
          <w:rFonts w:ascii="Times New Roman" w:cs="Times New Roman" w:eastAsia="Times New Roman" w:hAnsi="Times New Roman"/>
          <w:b w:val="false"/>
          <w:bCs w:val="false"/>
          <w:i w:val="false"/>
          <w:iCs w:val="false"/>
          <w:sz w:val="22"/>
          <w:szCs w:val="22"/>
        </w:rPr>
        <w:t xml:space="preserve"> This Agreement + the RSPA + the Stockholders' Agreement are the entire agreement on this subject; amendments in writing signed by both parties.</w:t>
      </w:r>
    </w:p>
    <w:p>
      <w:pPr>
        <w:spacing w:after="80"/>
      </w:pPr>
      <w:r>
        <w:rPr>
          <w:rFonts w:ascii="Times New Roman" w:cs="Times New Roman" w:eastAsia="Times New Roman" w:hAnsi="Times New Roman"/>
          <w:b w:val="false"/>
          <w:bCs w:val="false"/>
          <w:i w:val="false"/>
          <w:iCs w:val="false"/>
          <w:sz w:val="22"/>
          <w:szCs w:val="22"/>
        </w:rPr>
        <w:t xml:space="preserve">8.3 </w:t>
      </w:r>
      <w:r>
        <w:rPr>
          <w:rFonts w:ascii="Times New Roman" w:cs="Times New Roman" w:eastAsia="Times New Roman" w:hAnsi="Times New Roman"/>
          <w:b/>
          <w:bCs/>
          <w:i w:val="false"/>
          <w:iCs w:val="false"/>
          <w:sz w:val="22"/>
          <w:szCs w:val="22"/>
        </w:rPr>
        <w:t xml:space="preserve">Assignment.</w:t>
      </w:r>
      <w:r>
        <w:rPr>
          <w:rFonts w:ascii="Times New Roman" w:cs="Times New Roman" w:eastAsia="Times New Roman" w:hAnsi="Times New Roman"/>
          <w:b w:val="false"/>
          <w:bCs w:val="false"/>
          <w:i w:val="false"/>
          <w:iCs w:val="false"/>
          <w:sz w:val="22"/>
          <w:szCs w:val="22"/>
        </w:rPr>
        <w:t xml:space="preserve"> Adviser may not assign; the Company may assign to a successor.</w:t>
      </w:r>
    </w:p>
    <w:p>
      <w:pPr>
        <w:spacing w:after="80"/>
      </w:pPr>
      <w:r>
        <w:rPr>
          <w:rFonts w:ascii="Times New Roman" w:cs="Times New Roman" w:eastAsia="Times New Roman" w:hAnsi="Times New Roman"/>
          <w:b w:val="false"/>
          <w:bCs w:val="false"/>
          <w:i w:val="false"/>
          <w:iCs w:val="false"/>
          <w:sz w:val="22"/>
          <w:szCs w:val="22"/>
        </w:rPr>
        <w:t xml:space="preserve">8.4 </w:t>
      </w:r>
      <w:r>
        <w:rPr>
          <w:rFonts w:ascii="Times New Roman" w:cs="Times New Roman" w:eastAsia="Times New Roman" w:hAnsi="Times New Roman"/>
          <w:b/>
          <w:bCs/>
          <w:i w:val="false"/>
          <w:iCs w:val="false"/>
          <w:sz w:val="22"/>
          <w:szCs w:val="22"/>
        </w:rPr>
        <w:t xml:space="preserve">Counterparts / Electronic Signature.</w:t>
      </w:r>
      <w:r>
        <w:rPr>
          <w:rFonts w:ascii="Times New Roman" w:cs="Times New Roman" w:eastAsia="Times New Roman" w:hAnsi="Times New Roman"/>
          <w:b w:val="false"/>
          <w:bCs w:val="false"/>
          <w:i w:val="false"/>
          <w:iCs w:val="false"/>
          <w:sz w:val="22"/>
          <w:szCs w:val="22"/>
        </w:rPr>
        <w:t xml:space="preserve"> Permitted.</w:t>
      </w:r>
    </w:p>
    <w:p>
      <w:pPr>
        <w:spacing w:after="60"/>
      </w:pPr>
      <w:r>
        <w:t xml:space="preserve"/>
      </w:r>
    </w:p>
    <w:p>
      <w:pPr>
        <w:pBdr>
          <w:bottom w:val="single" w:color="999999" w:sz="6" w:space="1"/>
        </w:pBdr>
        <w:spacing w:after="80"/>
      </w:pPr>
      <w:r>
        <w:t xml:space="preserve"/>
      </w:r>
    </w:p>
    <w:p>
      <w:pPr>
        <w:spacing w:after="80"/>
      </w:pPr>
      <w:r>
        <w:rPr>
          <w:rFonts w:ascii="Times New Roman" w:cs="Times New Roman" w:eastAsia="Times New Roman" w:hAnsi="Times New Roman"/>
          <w:b/>
          <w:bCs/>
          <w:i w:val="false"/>
          <w:iCs w:val="false"/>
          <w:sz w:val="22"/>
          <w:szCs w:val="22"/>
        </w:rPr>
        <w:t xml:space="preserve">COMPANY:</w:t>
      </w:r>
      <w:r>
        <w:rPr>
          <w:rFonts w:ascii="Times New Roman" w:cs="Times New Roman" w:eastAsia="Times New Roman" w:hAnsi="Times New Roman"/>
          <w:b w:val="false"/>
          <w:bCs w:val="false"/>
          <w:i w:val="false"/>
          <w:iCs w:val="false"/>
          <w:sz w:val="22"/>
          <w:szCs w:val="22"/>
        </w:rPr>
        <w:t xml:space="preserve"> Cinderella Corp.</w:t>
      </w:r>
    </w:p>
    <w:p>
      <w:pPr>
        <w:spacing w:after="80"/>
      </w:pPr>
      <w:r>
        <w:rPr>
          <w:rFonts w:ascii="Times New Roman" w:cs="Times New Roman" w:eastAsia="Times New Roman" w:hAnsi="Times New Roman"/>
          <w:b w:val="false"/>
          <w:bCs w:val="false"/>
          <w:i w:val="false"/>
          <w:iCs w:val="false"/>
          <w:sz w:val="22"/>
          <w:szCs w:val="22"/>
        </w:rPr>
        <w:t>By: _________________________  Name: Norman C. de Silva  Title: Founder &amp; Chief Executive Officer  Date: ______</w:t>
      </w:r>
      <w:r>
        <w:rPr>
          <w:rFonts w:ascii="Times New Roman" w:cs="Times New Roman" w:eastAsia="Times New Roman" w:hAnsi="Times New Roman"/>
          <w:b w:val="false"/>
          <w:bCs w:val="false"/>
          <w:i/>
          <w:iCs/>
          <w:sz w:val="22"/>
          <w:szCs w:val="22"/>
        </w:rPr>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ADVISER:</w:t>
      </w:r>
      <w:r>
        <w:rPr>
          <w:rFonts w:ascii="Times New Roman" w:cs="Times New Roman" w:eastAsia="Times New Roman" w:hAnsi="Times New Roman"/>
          <w:b w:val="false"/>
          <w:bCs w:val="false"/>
          <w:i w:val="false"/>
          <w:iCs w:val="false"/>
          <w:sz w:val="22"/>
          <w:szCs w:val="22"/>
        </w:rPr>
        <w:t xml:space="preserve"> _________________________</w:t>
      </w:r>
      <w:r>
        <w:rPr>
          <w:rFonts w:ascii="Times New Roman" w:cs="Times New Roman" w:eastAsia="Times New Roman" w:hAnsi="Times New Roman"/>
          <w:b w:val="false"/>
          <w:bCs w:val="false"/>
          <w:i/>
          <w:iCs/>
          <w:sz w:val="22"/>
          <w:szCs w:val="22"/>
        </w:rPr>
        <w:t xml:space="preserve">  Greg Kristof  Date: ______</w:t>
      </w:r>
    </w:p>
    <w:p>
      <w:pPr>
        <w:spacing w:after="60"/>
      </w:pPr>
      <w:r>
        <w:t xml:space="preserve"/>
      </w:r>
    </w:p>
    <w:p>
      <w:pPr>
        <w:pBdr>
          <w:bottom w:val="single" w:color="999999" w:sz="6" w:space="1"/>
        </w:pBdr>
        <w:spacing w:after="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1F3864"/>
      <w:sz w:val="30"/>
      <w:szCs w:val="30"/>
    </w:rPr>
  </w:style>
  <w:style w:type="paragraph" w:styleId="Heading2">
    <w:name w:val="Heading 2"/>
    <w:basedOn w:val="Normal"/>
    <w:next w:val="Normal"/>
    <w:qFormat/>
    <w:rPr>
      <w:rFonts w:ascii="Times New Roman" w:cs="Times New Roman" w:eastAsia="Times New Roman" w:hAnsi="Times New Roman"/>
      <w:b/>
      <w:bCs/>
      <w:color w:val="1F3864"/>
      <w:sz w:val="26"/>
      <w:szCs w:val="26"/>
    </w:rPr>
  </w:style>
  <w:style w:type="paragraph" w:styleId="Heading3">
    <w:name w:val="Heading 3"/>
    <w:basedOn w:val="Normal"/>
    <w:next w:val="Normal"/>
    <w:qFormat/>
    <w:rPr>
      <w:rFonts w:ascii="Times New Roman" w:cs="Times New Roman" w:eastAsia="Times New Roman" w:hAnsi="Times New Roman"/>
      <w:b/>
      <w:bCs/>
      <w:color w:val="333333"/>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2026-08-25T00:53:47.034Z</dcterms:created>
  <dcterms:modified xsi:type="dcterms:W3CDTF">2026-08-25T00:53:47.053Z</dcterms:modified>
</cp:coreProperties>
</file>

<file path=docProps/custom.xml><?xml version="1.0" encoding="utf-8"?>
<Properties xmlns="http://schemas.openxmlformats.org/officeDocument/2006/custom-properties" xmlns:vt="http://schemas.openxmlformats.org/officeDocument/2006/docPropsVTypes"/>
</file>