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CBECE" w14:textId="4343D712" w:rsidR="008462C3" w:rsidRDefault="008462C3" w:rsidP="008462C3">
      <w:pPr>
        <w:jc w:val="center"/>
      </w:pPr>
      <w:r>
        <w:rPr>
          <w:b/>
          <w:sz w:val="26"/>
        </w:rPr>
        <w:t xml:space="preserve">CONSULTING </w:t>
      </w:r>
      <w:r>
        <w:rPr>
          <w:b/>
          <w:sz w:val="26"/>
        </w:rPr>
        <w:t>AGREEMENT</w:t>
      </w:r>
    </w:p>
    <w:p w14:paraId="00000003" w14:textId="77777777" w:rsidR="00E32377" w:rsidRDefault="00E32377">
      <w:pPr>
        <w:spacing w:after="60"/>
      </w:pPr>
    </w:p>
    <w:p w14:paraId="00000005" w14:textId="77777777" w:rsidR="00E32377" w:rsidRDefault="00E32377">
      <w:pPr>
        <w:spacing w:after="60"/>
      </w:pPr>
    </w:p>
    <w:p w14:paraId="00000006" w14:textId="5848B4C6" w:rsidR="00E32377" w:rsidRDefault="00000000">
      <w:pPr>
        <w:spacing w:after="80"/>
      </w:pPr>
      <w:r>
        <w:t>This Consulting Agreement (this "Agreement") is entered into by and between Cinderella Corp., a Delaware corporation (the "Company"), and GMK Sports Consulting ("Consultant"), an entity controlled by Greg Kristof, effective January 1, 2027</w:t>
      </w:r>
      <w:r>
        <w:rPr>
          <w:b/>
          <w:bCs/>
        </w:rPr>
      </w:r>
      <w:r/>
      <w:r>
        <w:rPr>
          <w:b/>
          <w:bCs/>
        </w:rPr>
      </w:r>
      <w:r/>
      <w:r>
        <w:rPr>
          <w:b/>
          <w:bCs/>
        </w:rPr>
      </w:r>
      <w:r/>
      <w:r w:rsidR="00966380">
        <w:rPr>
          <w:b/>
          <w:bCs/>
        </w:rPr>
      </w:r>
      <w:r/>
      <w:r>
        <w:rPr>
          <w:b/>
          <w:bCs/>
        </w:rPr>
      </w:r>
      <w:r/>
      <w:r>
        <w:rPr>
          <w:b/>
          <w:bCs/>
        </w:rPr>
      </w:r>
      <w:r>
        <w:t xml:space="preserve"> (the "</w:t>
      </w:r>
      <w:r>
        <w:rPr>
          <w:b/>
          <w:bCs/>
        </w:rPr>
        <w:t>Effective Date</w:t>
      </w:r>
      <w:r>
        <w:t>").</w:t>
      </w:r>
    </w:p>
    <w:p w14:paraId="00000007" w14:textId="77777777" w:rsidR="00E32377" w:rsidRDefault="00E32377">
      <w:pPr>
        <w:spacing w:after="60"/>
      </w:pPr>
    </w:p>
    <w:p w14:paraId="00000008" w14:textId="77777777" w:rsidR="00E32377" w:rsidRDefault="00000000">
      <w:pPr>
        <w:pStyle w:val="Heading2"/>
        <w:spacing w:before="180" w:after="100"/>
      </w:pPr>
      <w:r>
        <w:rPr>
          <w:b w:val="0"/>
          <w:bCs w:val="0"/>
          <w:sz w:val="22"/>
          <w:szCs w:val="22"/>
        </w:rPr>
        <w:t>1. Services</w:t>
      </w:r>
    </w:p>
    <w:p w14:paraId="00000009" w14:textId="77777777" w:rsidR="00E32377" w:rsidRDefault="00000000">
      <w:pPr>
        <w:spacing w:after="80"/>
      </w:pPr>
      <w:r>
        <w:t xml:space="preserve">1.1 </w:t>
      </w:r>
      <w:r>
        <w:rPr>
          <w:b/>
          <w:bCs/>
        </w:rPr>
        <w:t>Scope.</w:t>
      </w:r>
      <w:r>
        <w:t xml:space="preserve"> Consultant will provide </w:t>
      </w:r>
      <w:r>
        <w:rPr>
          <w:b/>
          <w:bCs/>
        </w:rPr>
        <w:t>non-exclusive consulting services — advisory and network access only</w:t>
      </w:r>
      <w:r>
        <w:t>: strategic advice and introductions across his basketball roster/NIL/coach/event network, as reasonably requested by the Company.</w:t>
      </w:r>
    </w:p>
    <w:p w14:paraId="0000000A" w14:textId="77777777" w:rsidR="00E32377" w:rsidRDefault="00000000">
      <w:pPr>
        <w:spacing w:after="80"/>
      </w:pPr>
      <w:r>
        <w:t xml:space="preserve">1.2 </w:t>
      </w:r>
      <w:r>
        <w:rPr>
          <w:b/>
          <w:bCs/>
        </w:rPr>
        <w:t>Limits.</w:t>
      </w:r>
      <w:r>
        <w:t xml:space="preserve"> Consultant is an independent contractor with </w:t>
      </w:r>
      <w:r>
        <w:rPr>
          <w:b/>
          <w:bCs/>
        </w:rPr>
        <w:t>no authority to bind</w:t>
      </w:r>
      <w:r>
        <w:t xml:space="preserve"> the Company and will </w:t>
      </w:r>
      <w:r>
        <w:rPr>
          <w:b/>
          <w:bCs/>
        </w:rPr>
        <w:t>not execute, negotiate to close, or sign</w:t>
      </w:r>
      <w:r>
        <w:t xml:space="preserve"> agreements on the Company's behalf, and is </w:t>
      </w:r>
      <w:r>
        <w:rPr>
          <w:b/>
          <w:bCs/>
        </w:rPr>
        <w:t>not</w:t>
      </w:r>
      <w:r>
        <w:t xml:space="preserve"> engaged as a broker, finder, or placement agent. (Compensation is a fixed retainer, not transaction-based — see Section 3.)</w:t>
      </w:r>
    </w:p>
    <w:p w14:paraId="0000000B" w14:textId="52C2698E" w:rsidR="00E32377" w:rsidRDefault="00000000">
      <w:pPr>
        <w:spacing w:after="80"/>
      </w:pPr>
      <w:r>
        <w:t>1.3 Non-exclusive. Consultant may continue his own businesses (including Zero Gravity and 6th Sense), subject to Sections 6–8.</w:t>
      </w:r>
      <w:proofErr w:type="gramStart"/>
      <w:r>
        <w:rPr>
          <w:b/>
          <w:bCs/>
        </w:rPr>
      </w:r>
      <w:proofErr w:type="gramEnd"/>
      <w:r>
        <w:rPr>
          <w:b/>
          <w:bCs/>
        </w:rPr>
      </w:r>
      <w:r/>
    </w:p>
    <w:p w14:paraId="0000000C" w14:textId="77777777" w:rsidR="00E32377" w:rsidRDefault="00000000">
      <w:pPr>
        <w:spacing w:after="80"/>
      </w:pPr>
      <w:r>
        <w:t xml:space="preserve">1.4 </w:t>
      </w:r>
      <w:r>
        <w:rPr>
          <w:b/>
          <w:bCs/>
        </w:rPr>
        <w:t>Relationship to equity.</w:t>
      </w:r>
      <w:r>
        <w:t xml:space="preserve"> This Agreement governs </w:t>
      </w:r>
      <w:r>
        <w:rPr>
          <w:b/>
          <w:bCs/>
        </w:rPr>
        <w:t>paid consulting services only.</w:t>
      </w:r>
      <w:r>
        <w:t xml:space="preserve"> Consultant's equity (as a Strategic Adviser) is governed by a separate Strategic Adviser Agreement; no equity is granted here.</w:t>
      </w:r>
    </w:p>
    <w:p w14:paraId="0000000C" w14:textId="77777777" w:rsidR="00E32377" w:rsidRDefault="00000000">
      <w:pPr>
        <w:spacing w:after="80"/>
      </w:pPr>
      <w:r>
        <w:rPr>
          <w:b/>
        </w:rPr>
        <w:t xml:space="preserve">1.5  NCAA and recruiting compliance.  </w:t>
      </w:r>
      <w:r>
        <w:rPr>
          <w:b w:val="0"/>
          <w:bCs/>
        </w:rPr>
        <w:t>Consultant acknowledges that the Company's business involves NCAA member institutions and their student-athletes, and agrees that in performing the services Consultant will not: (a) contact, recruit, evaluate or give any opinion on a specific prospective student-athlete who has not yet enrolled at, or signed a national letter of intent or equivalent binding commitment with, a school participating in a Company project; (b) act as, or hold himself out as, an athlete agent or representative of any student-athlete for compensation; (c) offer, promise, arrange or imply any name, image and likeness or other compensation to any prospective student-athlete as an inducement to enroll; or (d) participate in setting, pricing or negotiating any student-athlete's compensation. The services are limited to general strategic advice, industry and market context, and introductions to adults. Consultant will promptly raise with the Chief Executive Officer any request he believes may fall outside these limits, and the Company will not direct Consultant to act outside them. This Section survives termination.</w:t>
      </w:r>
      <w:r/>
      <w:r>
        <w:rPr>
          <w:b/>
          <w:bCs/>
        </w:rPr>
      </w:r>
      <w:r/>
    </w:p>
    <w:p w14:paraId="0000000D" w14:textId="77777777" w:rsidR="00E32377" w:rsidRDefault="00E32377">
      <w:pPr>
        <w:spacing w:after="60"/>
      </w:pPr>
    </w:p>
    <w:p w14:paraId="0000000E" w14:textId="77777777" w:rsidR="00E32377" w:rsidRDefault="00000000">
      <w:pPr>
        <w:pStyle w:val="Heading2"/>
        <w:spacing w:before="180" w:after="100"/>
      </w:pPr>
      <w:r>
        <w:rPr>
          <w:b w:val="0"/>
          <w:bCs w:val="0"/>
          <w:sz w:val="22"/>
          <w:szCs w:val="22"/>
        </w:rPr>
        <w:t>2. Term</w:t>
      </w:r>
    </w:p>
    <w:p w14:paraId="0000000F" w14:textId="77777777" w:rsidR="00E32377" w:rsidRDefault="00000000">
      <w:pPr>
        <w:spacing w:after="80"/>
      </w:pPr>
      <w:r>
        <w:t xml:space="preserve">2.1 </w:t>
      </w:r>
      <w:r>
        <w:rPr>
          <w:b/>
          <w:bCs/>
        </w:rPr>
        <w:t>Start.</w:t>
      </w:r>
      <w:r>
        <w:t xml:space="preserve"> Services and compensation begin </w:t>
      </w:r>
      <w:r>
        <w:rPr>
          <w:b/>
          <w:bCs/>
        </w:rPr>
        <w:t>January 1, 2027.</w:t>
      </w:r>
    </w:p>
    <w:p w14:paraId="00000010" w14:textId="77777777" w:rsidR="00E32377" w:rsidRDefault="00000000">
      <w:pPr>
        <w:spacing w:after="80"/>
      </w:pPr>
      <w:r>
        <w:t>2.2 Ongoing / at-will. The Agreement continues on an at-will basis until terminated by either party on thirty (30) days' written notice (or immediately for material breach).</w:t>
      </w:r>
      <w:r>
        <w:rPr>
          <w:b/>
          <w:bCs/>
        </w:rPr>
      </w:r>
      <w:r/>
      <w:proofErr w:type="gramStart"/>
      <w:r/>
      <w:proofErr w:type="gramEnd"/>
      <w:r/>
      <w:r>
        <w:rPr>
          <w:b/>
          <w:bCs/>
        </w:rPr>
      </w:r>
      <w:r/>
    </w:p>
    <w:p w14:paraId="00000011" w14:textId="77777777" w:rsidR="00E32377" w:rsidRDefault="00E32377">
      <w:pPr>
        <w:spacing w:after="60"/>
      </w:pPr>
    </w:p>
    <w:p w14:paraId="00000012" w14:textId="77777777" w:rsidR="00E32377" w:rsidRDefault="00000000">
      <w:pPr>
        <w:pStyle w:val="Heading2"/>
        <w:spacing w:before="180" w:after="100"/>
      </w:pPr>
      <w:r>
        <w:rPr>
          <w:b w:val="0"/>
          <w:bCs w:val="0"/>
          <w:sz w:val="22"/>
          <w:szCs w:val="22"/>
        </w:rPr>
        <w:t>3. Compensation</w:t>
      </w:r>
    </w:p>
    <w:p w14:paraId="00000013" w14:textId="3CCB67EE" w:rsidR="00E32377" w:rsidRDefault="00000000">
      <w:pPr>
        <w:spacing w:after="80"/>
      </w:pPr>
      <w:r>
        <w:t xml:space="preserve">3.1 </w:t>
      </w:r>
      <w:r>
        <w:rPr>
          <w:b/>
          <w:bCs/>
        </w:rPr>
        <w:t>Monthly retainer.</w:t>
      </w:r>
      <w:r>
        <w:t xml:space="preserve"> The Company will pay Consultant a retainer of </w:t>
      </w:r>
      <w:r>
        <w:rPr>
          <w:b/>
          <w:bCs/>
        </w:rPr>
        <w:t>$</w:t>
      </w:r>
      <w:r w:rsidR="008462C3">
        <w:rPr>
          <w:b/>
          <w:bCs/>
        </w:rPr>
        <w:t>4,000</w:t>
      </w:r>
      <w:r>
        <w:rPr>
          <w:b/>
          <w:bCs/>
          <w:i/>
          <w:iCs/>
        </w:rPr>
        <w:t xml:space="preserve"> per month</w:t>
      </w:r>
      <w:r>
        <w:rPr>
          <w:i/>
          <w:iCs/>
        </w:rPr>
        <w:t>, payable monthly, beginning January 1, 2027.</w:t>
      </w:r>
    </w:p>
    <w:p w14:paraId="00000014" w14:textId="77777777" w:rsidR="00E32377" w:rsidRDefault="00000000">
      <w:pPr>
        <w:spacing w:after="80"/>
      </w:pPr>
      <w:r>
        <w:t xml:space="preserve">3.2 </w:t>
      </w:r>
      <w:r>
        <w:rPr>
          <w:b/>
          <w:bCs/>
        </w:rPr>
        <w:t>No other fees.</w:t>
      </w:r>
      <w:r>
        <w:t xml:space="preserve"> No success fees, commissions, equity, or bonuses are payable under this Agreement. (Equity is under the Strategic Adviser Agreement.)</w:t>
      </w:r>
    </w:p>
    <w:p w14:paraId="00000015" w14:textId="77777777" w:rsidR="00E32377" w:rsidRDefault="00000000">
      <w:pPr>
        <w:spacing w:after="80"/>
      </w:pPr>
      <w:r>
        <w:t>3.3 Expenses. The Company will reimburse reasonable, pre-approved business expenses on submission of receipts. Reimbursement is governed by the Company's Expense &amp; Travel Policy then in effect, which applies by its terms to contractors and a copy of which has been provided to Consultant. Under that policy, any single non-flight, non-lodging expense or commitment over five hundred dollars ($500) requires prior written approval by email before it is incurred.</w:t>
      </w:r>
      <w:r>
        <w:rPr>
          <w:b/>
          <w:bCs/>
        </w:rPr>
      </w:r>
      <w:r/>
      <w:r>
        <w:rPr>
          <w:b/>
          <w:bCs/>
        </w:rPr>
      </w:r>
      <w:r/>
    </w:p>
    <w:p w14:paraId="00000016" w14:textId="6B6BD88B" w:rsidR="00E32377" w:rsidRDefault="00000000">
      <w:pPr>
        <w:spacing w:after="80"/>
      </w:pPr>
      <w:r>
        <w:t xml:space="preserve">3.4 </w:t>
      </w:r>
      <w:r>
        <w:rPr>
          <w:b/>
          <w:bCs/>
        </w:rPr>
        <w:t>Invoicing.</w:t>
      </w:r>
      <w:r>
        <w:rPr>
          <w:b w:val="0"/>
          <w:bCs/>
        </w:rPr>
        <w:t xml:space="preserve">  Consultant will submit an invoice to the Company on or about the first business day of each month for that month's retainer, together with any reimbursable expenses incurred in the preceding month and the supporting receipts. The Company will pay each undisputed invoice within thirty (30) days of receipt. Where the Company disputes any portion of an invoice, it will pay the undisputed portion when due and notify Consultant of the disputed portion within ten (10) business days of receipt, and the parties will resolve it in good faith. The Company has no obligation to make any payment under this Agreement until Consultant has delivered a completed IRS Form W-9. Invoices must be submitted within ninety (90) days after the end of the month to which they relate.</w:t>
      </w:r>
    </w:p>
    <w:p w14:paraId="00000017" w14:textId="77777777" w:rsidR="00E32377" w:rsidRDefault="00E32377">
      <w:pPr>
        <w:spacing w:after="60"/>
      </w:pPr>
    </w:p>
    <w:p w14:paraId="00000018" w14:textId="77777777" w:rsidR="00E32377" w:rsidRDefault="00000000">
      <w:pPr>
        <w:pStyle w:val="Heading2"/>
        <w:spacing w:before="180" w:after="100"/>
      </w:pPr>
      <w:r>
        <w:rPr>
          <w:b w:val="0"/>
          <w:bCs w:val="0"/>
          <w:sz w:val="22"/>
          <w:szCs w:val="22"/>
        </w:rPr>
        <w:t>4. Independent Contractor</w:t>
      </w:r>
    </w:p>
    <w:p w14:paraId="00000019" w14:textId="77777777" w:rsidR="00E32377" w:rsidRDefault="00000000">
      <w:pPr>
        <w:spacing w:after="80"/>
      </w:pPr>
      <w:r>
        <w:t xml:space="preserve">Consultant is an independent contractor (not an employee), is solely responsible for all taxes (issued a </w:t>
      </w:r>
      <w:r>
        <w:rPr>
          <w:b/>
          <w:bCs/>
        </w:rPr>
        <w:t>Form 1099</w:t>
      </w:r>
      <w:r>
        <w:t xml:space="preserve">), and receives </w:t>
      </w:r>
      <w:r>
        <w:rPr>
          <w:b/>
          <w:bCs/>
        </w:rPr>
        <w:t>no employee benefits</w:t>
      </w:r>
      <w:r>
        <w:t>. Consultant controls the manner and means of performing the services.</w:t>
      </w:r>
    </w:p>
    <w:p w14:paraId="0000001A" w14:textId="77777777" w:rsidR="00E32377" w:rsidRDefault="00E32377">
      <w:pPr>
        <w:spacing w:after="60"/>
      </w:pPr>
    </w:p>
    <w:p w14:paraId="0000001B" w14:textId="77777777" w:rsidR="00E32377" w:rsidRDefault="00000000">
      <w:pPr>
        <w:pStyle w:val="Heading2"/>
        <w:spacing w:before="180" w:after="100"/>
      </w:pPr>
      <w:r>
        <w:rPr>
          <w:b w:val="0"/>
          <w:bCs w:val="0"/>
          <w:sz w:val="22"/>
          <w:szCs w:val="22"/>
        </w:rPr>
        <w:t>5. Termination Effects</w:t>
      </w:r>
    </w:p>
    <w:p w14:paraId="0000001C" w14:textId="77777777" w:rsidR="00E32377" w:rsidRDefault="00000000">
      <w:pPr>
        <w:spacing w:after="80"/>
      </w:pPr>
      <w:r>
        <w:t>On termination, the Company will pay the retainer prorated through the termination date plus approved expenses; no further amounts are owed. Sections 6–9 survive.</w:t>
      </w:r>
    </w:p>
    <w:p w14:paraId="0000001D" w14:textId="77777777" w:rsidR="00E32377" w:rsidRDefault="00E32377">
      <w:pPr>
        <w:spacing w:after="60"/>
      </w:pPr>
    </w:p>
    <w:p w14:paraId="0000001E" w14:textId="77777777" w:rsidR="00E32377" w:rsidRDefault="00000000">
      <w:pPr>
        <w:pStyle w:val="Heading2"/>
        <w:spacing w:before="180" w:after="100"/>
      </w:pPr>
      <w:r>
        <w:rPr>
          <w:b w:val="0"/>
          <w:bCs w:val="0"/>
          <w:sz w:val="22"/>
          <w:szCs w:val="22"/>
        </w:rPr>
        <w:t>6. Confidentiality</w:t>
      </w:r>
    </w:p>
    <w:p w14:paraId="0000001F" w14:textId="77777777" w:rsidR="00E32377" w:rsidRDefault="00000000">
      <w:pPr>
        <w:spacing w:after="80"/>
      </w:pPr>
      <w:r>
        <w:t>Consultant will hold all non-public Company information in confidence, use it only to perform the services, and return or destroy it on termination.</w:t>
      </w:r>
    </w:p>
    <w:p w14:paraId="00000020" w14:textId="77777777" w:rsidR="00E32377" w:rsidRDefault="00E32377">
      <w:pPr>
        <w:spacing w:after="60"/>
      </w:pPr>
    </w:p>
    <w:p w14:paraId="00000021" w14:textId="77777777" w:rsidR="00E32377" w:rsidRDefault="00000000">
      <w:pPr>
        <w:pStyle w:val="Heading2"/>
        <w:spacing w:before="180" w:after="100"/>
      </w:pPr>
      <w:r>
        <w:rPr>
          <w:b w:val="0"/>
          <w:bCs w:val="0"/>
          <w:sz w:val="22"/>
          <w:szCs w:val="22"/>
        </w:rPr>
        <w:t>7. Intellectual Property</w:t>
      </w:r>
    </w:p>
    <w:p w14:paraId="00000022" w14:textId="77777777" w:rsidR="00E32377" w:rsidRDefault="00000000">
      <w:pPr>
        <w:spacing w:after="80"/>
      </w:pPr>
      <w:r>
        <w:t xml:space="preserve">All work </w:t>
      </w:r>
      <w:proofErr w:type="gramStart"/>
      <w:r>
        <w:t>product</w:t>
      </w:r>
      <w:proofErr w:type="gramEnd"/>
      <w:r>
        <w:t xml:space="preserve">, materials, decks, analyses, and deliverables Consultant creates for the Company are </w:t>
      </w:r>
      <w:r>
        <w:rPr>
          <w:b/>
          <w:bCs/>
        </w:rPr>
        <w:t>works made for hire / assigned to the Company</w:t>
      </w:r>
      <w:r>
        <w:t>. Consultant's pre-existing and independent business IP remains his.</w:t>
      </w:r>
    </w:p>
    <w:p w14:paraId="00000023" w14:textId="77777777" w:rsidR="00E32377" w:rsidRDefault="00E32377">
      <w:pPr>
        <w:spacing w:after="60"/>
      </w:pPr>
    </w:p>
    <w:p w14:paraId="00000024" w14:textId="77777777" w:rsidR="00E32377" w:rsidRDefault="00000000">
      <w:pPr>
        <w:pStyle w:val="Heading2"/>
        <w:spacing w:before="180" w:after="100"/>
      </w:pPr>
      <w:r>
        <w:rPr>
          <w:b w:val="0"/>
          <w:bCs w:val="0"/>
          <w:sz w:val="22"/>
          <w:szCs w:val="22"/>
        </w:rPr>
        <w:t>8. Non-Circumvention / Non-Solicitation</w:t>
      </w:r>
    </w:p>
    <w:p w14:paraId="00000025" w14:textId="1D61177D" w:rsidR="00E32377" w:rsidRDefault="00000000">
      <w:pPr>
        <w:spacing w:after="80"/>
      </w:pPr>
      <w:r>
        <w:t xml:space="preserve">Consistent with the Company's non-circumvention framework, Consultant will not, during the term and for 24 months after, circumvent the Company as to schools, celebrities, capital partners, sponsors, or counterparties introduced through or in connection with the Company, nor solicit Company personnel. Nothing in this Section restricts Consultant from initiating, continuing or maintaining any personal or professional relationship with any person or entity, whenever and however that relationship arose, including any relationship arising through Zero Gravity, 6th Sense or any other business of Consultant permitted under Section 1.3. Consultant's obligations under Sections 6 and 7 continue to apply to Company confidential information and intellectual property in any such communication. </w:t>
      </w:r>
      <w:r>
        <w:rPr>
          <w:b/>
          <w:bCs/>
        </w:rPr>
      </w:r>
      <w:r/>
      <w:r>
        <w:rPr>
          <w:b/>
          <w:bCs/>
        </w:rPr>
      </w:r>
      <w:r/>
    </w:p>
    <w:p w14:paraId="00000026" w14:textId="77777777" w:rsidR="00E32377" w:rsidRDefault="00E32377">
      <w:pPr>
        <w:spacing w:after="60"/>
      </w:pPr>
    </w:p>
    <w:p w14:paraId="00000027" w14:textId="77777777" w:rsidR="00E32377" w:rsidRDefault="00000000">
      <w:pPr>
        <w:pStyle w:val="Heading2"/>
        <w:spacing w:before="180" w:after="100"/>
      </w:pPr>
      <w:r>
        <w:rPr>
          <w:b w:val="0"/>
          <w:bCs w:val="0"/>
          <w:sz w:val="22"/>
          <w:szCs w:val="22"/>
        </w:rPr>
        <w:t>9. General</w:t>
      </w:r>
    </w:p>
    <w:p w14:paraId="00000028" w14:textId="1995FF64" w:rsidR="00E32377" w:rsidRDefault="00000000">
      <w:pPr>
        <w:spacing w:after="80"/>
      </w:pPr>
      <w:r>
        <w:t xml:space="preserve">9.1 Governing law; jurisdiction; jury waiver. This Agreement is governed by and construed in accordance with the laws of the State of Delaware, without regard to its conflicts of laws principles. The Court of Chancery of the State of Delaware has exclusive jurisdiction over any dispute arising out of or relating to this Agreement (or, if that court lacks subject-matter jurisdiction, the federal or state courts located in the State of Delaware). TO THE FULLEST EXTENT PERMITTED BY LAW, EACH PARTY WAIVES ANY RIGHT TO TRIAL BY JURY. </w:t>
      </w:r>
      <w:r>
        <w:rPr>
          <w:b/>
          <w:bCs/>
        </w:rPr>
      </w:r>
      <w:r/>
    </w:p>
    <w:p w14:paraId="00000029" w14:textId="77777777" w:rsidR="00E32377" w:rsidRDefault="00000000">
      <w:pPr>
        <w:spacing w:after="80"/>
      </w:pPr>
      <w:r>
        <w:t xml:space="preserve">9.2 </w:t>
      </w:r>
      <w:r>
        <w:rPr>
          <w:b/>
          <w:bCs/>
        </w:rPr>
        <w:t>Entire Agreement.</w:t>
      </w:r>
      <w:r>
        <w:t xml:space="preserve"> This Agreement (with the Strategic Adviser Agreement) is the entire agreement on this subject; amendments in writing signed by both.</w:t>
      </w:r>
    </w:p>
    <w:p w14:paraId="0000002A" w14:textId="77777777" w:rsidR="00E32377" w:rsidRDefault="00000000">
      <w:pPr>
        <w:spacing w:after="80"/>
      </w:pPr>
      <w:r>
        <w:t xml:space="preserve">9.3 </w:t>
      </w:r>
      <w:r>
        <w:rPr>
          <w:b/>
          <w:bCs/>
        </w:rPr>
        <w:t>Assignment.</w:t>
      </w:r>
      <w:r>
        <w:t xml:space="preserve"> Consultant may not assign; the Company may assign to a successor.</w:t>
      </w:r>
    </w:p>
    <w:p w14:paraId="0000002B" w14:textId="2A736F94" w:rsidR="00E32377" w:rsidRDefault="00000000">
      <w:pPr>
        <w:spacing w:after="80"/>
      </w:pPr>
      <w:r>
        <w:t xml:space="preserve">9.4 </w:t>
      </w:r>
      <w:r>
        <w:rPr>
          <w:b/>
          <w:bCs/>
        </w:rPr>
        <w:t>Indemnification / Limitation of Liability.</w:t>
      </w:r>
      <w:r>
        <w:t xml:space="preserve"> </w:t>
      </w:r>
      <w:r>
        <w:rPr>
          <w:b w:val="0"/>
        </w:rPr>
        <w:t xml:space="preserve"> Each party will indemnify, defend and hold harmless the other, and the other's officers, directors, employees and agents, from and against any third-party claim, and any resulting loss, liability, damage, cost and reasonable attorneys' fees, to the extent arising out of the indemnifying party's breach of this Agreement, gross negligence or willful misconduct. Consultant will further indemnify the Company against any claim arising out of Consultant's failure to pay taxes on amounts received under this Agreement, or out of any assertion that Consultant or any of Consultant's personnel is an employee of the Company. Neither party is liable to the other for indirect, incidental, special, consequential, exemplary or punitive damages, or for lost profits, however caused. Except for a party's indemnification obligations under this Section, a breach of Section 6 (Confidentiality) or Section 7 (Intellectual Property), and Consultant's obligations under Section 8 (Non-Circumvention / Non-Solicitation), each party's aggregate liability under this Agreement is limited to the total fees paid or payable to Consultant under this Agreement in the twelve (12) months preceding the event giving rise to the claim.</w:t>
      </w:r>
    </w:p>
    <w:p w14:paraId="0000002C" w14:textId="77777777" w:rsidR="00E32377" w:rsidRDefault="00000000">
      <w:pPr>
        <w:spacing w:after="80"/>
      </w:pPr>
      <w:r>
        <w:t xml:space="preserve">9.5 </w:t>
      </w:r>
      <w:r>
        <w:rPr>
          <w:b/>
          <w:bCs/>
        </w:rPr>
        <w:t>Counterparts / Electronic Signature.</w:t>
      </w:r>
      <w:r>
        <w:t xml:space="preserve"> Permitted.</w:t>
      </w:r>
    </w:p>
    <w:p w14:paraId="0000002C" w14:textId="77777777" w:rsidR="00E32377" w:rsidRDefault="00000000">
      <w:pPr>
        <w:spacing w:after="80"/>
      </w:pPr>
      <w:r>
        <w:rPr>
          <w:b/>
        </w:rPr>
        <w:t xml:space="preserve">9.6  Notices.  </w:t>
      </w:r>
      <w:r>
        <w:rPr>
          <w:b w:val="0"/>
          <w:bCs/>
        </w:rPr>
        <w:t>All notices under this Agreement must be in writing and delivered by hand, by nationally recognized overnight courier, or by email, in each case to the address set forth on the signature page (or such other address as a party designates by notice). Notice is deemed given on delivery if by hand, one business day after deposit if by courier, and on transmission if by email provided no bounce or error notice is received.</w:t>
      </w:r>
      <w:r/>
    </w:p>
    <w:p w14:paraId="0000002C" w14:textId="77777777" w:rsidR="00E32377" w:rsidRDefault="00000000">
      <w:pPr>
        <w:spacing w:after="80"/>
      </w:pPr>
      <w:r>
        <w:rPr>
          <w:b/>
        </w:rPr>
        <w:t xml:space="preserve">9.7  Severability; reformation.  </w:t>
      </w:r>
      <w:r>
        <w:rPr>
          <w:b w:val="0"/>
          <w:bCs/>
        </w:rPr>
        <w:t>If any provision of this Agreement is held invalid or unenforceable, that provision is ineffective only to the extent of such invalidity or unenforceability and the remainder continues in full force. If any restriction in Section 8 is held unenforceable because of its duration, geographic scope or subject matter, the parties intend that the court reduce that restriction to the maximum duration, scope or subject matter that is enforceable and enforce it as so reduced.</w:t>
      </w:r>
      <w:r/>
    </w:p>
    <w:p w14:paraId="0000002C" w14:textId="77777777" w:rsidR="00E32377" w:rsidRDefault="00000000">
      <w:pPr>
        <w:spacing w:after="80"/>
      </w:pPr>
      <w:r>
        <w:rPr>
          <w:b/>
        </w:rPr>
        <w:t xml:space="preserve">9.8  Authority; key person.  </w:t>
      </w:r>
      <w:r>
        <w:rPr>
          <w:b w:val="0"/>
          <w:bCs/>
        </w:rPr>
        <w:t>Consultant represents that it is duly organized and in good standing, and that the person signing below is authorized to bind it. The Company is engaging Consultant for Greg Kristof's personal expertise, judgement and relationships; Greg Kristof will perform the services personally, and Consultant may not subcontract or substitute any other individual without the Company's prior written consent.</w:t>
      </w:r>
      <w:r/>
    </w:p>
    <w:p w14:paraId="0000002D" w14:textId="77777777" w:rsidR="00E32377" w:rsidRDefault="00E32377">
      <w:pPr>
        <w:spacing w:after="60"/>
      </w:pPr>
    </w:p>
    <w:p w14:paraId="0000002E" w14:textId="77777777" w:rsidR="00E32377" w:rsidRDefault="00E32377">
      <w:pPr>
        <w:pBdr>
          <w:bottom w:val="single" w:sz="6" w:space="1" w:color="999999"/>
        </w:pBdr>
        <w:spacing w:after="80"/>
      </w:pPr>
    </w:p>
    <w:p w14:paraId="0000002F" w14:textId="77777777" w:rsidR="00E32377" w:rsidRDefault="00000000">
      <w:pPr>
        <w:spacing w:after="80"/>
      </w:pPr>
      <w:r>
        <w:rPr>
          <w:b/>
          <w:bCs/>
        </w:rPr>
        <w:t>COMPANY:</w:t>
      </w:r>
      <w:r>
        <w:t xml:space="preserve"> Cinderella Corp.</w:t>
      </w:r>
    </w:p>
    <w:p w14:paraId="0CBBEF19" w14:textId="77777777" w:rsidR="008462C3" w:rsidRDefault="00000000">
      <w:pPr>
        <w:spacing w:after="80"/>
        <w:rPr>
          <w:i/>
          <w:iCs/>
        </w:rPr>
      </w:pPr>
      <w:proofErr w:type="gramStart"/>
      <w:r>
        <w:t>By</w:t>
      </w:r>
      <w:proofErr w:type="gramEnd"/>
      <w:r>
        <w:t>: _________________________</w:t>
      </w:r>
      <w:r>
        <w:rPr>
          <w:i/>
          <w:iCs/>
        </w:rPr>
        <w:t xml:space="preserve">  </w:t>
      </w:r>
    </w:p>
    <w:p w14:paraId="2FB99773" w14:textId="77777777" w:rsidR="008462C3" w:rsidRDefault="00000000">
      <w:pPr>
        <w:spacing w:after="80"/>
        <w:rPr>
          <w:i/>
          <w:iCs/>
        </w:rPr>
      </w:pPr>
      <w:r>
        <w:rPr>
          <w:i/>
          <w:iCs/>
        </w:rPr>
        <w:t>Name: Norman C. de Silva</w:t>
      </w:r>
    </w:p>
    <w:p w14:paraId="47AA2A0C" w14:textId="77777777" w:rsidR="008462C3" w:rsidRDefault="00000000">
      <w:pPr>
        <w:spacing w:after="80"/>
        <w:rPr>
          <w:i/>
          <w:iCs/>
        </w:rPr>
      </w:pPr>
      <w:r>
        <w:rPr>
          <w:i/>
          <w:iCs/>
        </w:rPr>
        <w:t>Title: Founder &amp; Chief Executive Officer</w:t>
      </w:r>
    </w:p>
    <w:p w14:paraId="00000030" w14:textId="7A37BF13" w:rsidR="00E32377" w:rsidRDefault="00000000">
      <w:pPr>
        <w:spacing w:after="80"/>
      </w:pPr>
      <w:r>
        <w:rPr>
          <w:i/>
          <w:iCs/>
        </w:rPr>
        <w:t>Date: ______</w:t>
      </w:r>
    </w:p>
    <w:p w14:paraId="00000031" w14:textId="77777777" w:rsidR="00E32377" w:rsidRDefault="00E32377">
      <w:pPr>
        <w:spacing w:after="60"/>
      </w:pPr>
    </w:p>
    <w:p w14:paraId="7751D645" w14:textId="77777777" w:rsidR="008462C3" w:rsidRDefault="00000000">
      <w:pPr>
        <w:spacing w:after="80"/>
        <w:rPr>
          <w:i/>
          <w:iCs/>
        </w:rPr>
      </w:pPr>
      <w:r>
        <w:rPr>
          <w:b/>
          <w:bCs/>
        </w:rPr>
        <w:t>CONSULTANT: GMK SPORTS CONSULTING</w:t>
      </w:r>
      <w:r/>
    </w:p>
    <w:p w14:paraId="57BEBD2A" w14:textId="705B3D76" w:rsidR="008462C3" w:rsidRDefault="00966380">
      <w:pPr>
        <w:spacing w:after="80"/>
        <w:rPr>
          <w:i/>
          <w:iCs/>
        </w:rPr>
      </w:pPr>
      <w:r>
        <w:rPr>
          <w:i/>
          <w:iCs/>
        </w:rPr>
        <w:t>By: _________________________</w:t>
      </w:r>
      <w:r w:rsidR="00000000">
        <w:rPr>
          <w:i/>
          <w:iCs/>
        </w:rPr>
      </w:r>
    </w:p>
    <w:p w14:paraId="57BEBD2A" w14:textId="705B3D76" w:rsidR="008462C3" w:rsidRDefault="00966380">
      <w:pPr>
        <w:spacing w:after="80"/>
        <w:rPr>
          <w:i/>
          <w:iCs/>
        </w:rPr>
      </w:pPr>
      <w:r>
        <w:rPr>
          <w:i/>
          <w:iCs/>
        </w:rPr>
        <w:t>Name: Greg Kristof</w:t>
      </w:r>
      <w:r w:rsidR="00000000">
        <w:rPr>
          <w:i/>
          <w:iCs/>
        </w:rPr>
      </w:r>
    </w:p>
    <w:p w14:paraId="57BEBD2A" w14:textId="705B3D76" w:rsidR="008462C3" w:rsidRDefault="00966380">
      <w:pPr>
        <w:spacing w:after="80"/>
        <w:rPr>
          <w:i/>
          <w:iCs/>
        </w:rPr>
      </w:pPr>
      <w:r>
        <w:rPr>
          <w:i/>
          <w:iCs/>
        </w:rPr>
        <w:t>Title: _________________________</w:t>
      </w:r>
      <w:r w:rsidR="00000000">
        <w:rPr>
          <w:i/>
          <w:iCs/>
        </w:rPr>
      </w:r>
    </w:p>
    <w:p w14:paraId="57BEBD2A" w14:textId="705B3D76" w:rsidR="008462C3" w:rsidRDefault="00966380">
      <w:pPr>
        <w:spacing w:after="80"/>
        <w:rPr>
          <w:i/>
          <w:iCs/>
        </w:rPr>
      </w:pPr>
      <w:r>
        <w:rPr>
          <w:i/>
          <w:iCs/>
        </w:rPr>
        <w:t>Address for notices: _______________________________</w:t>
      </w:r>
      <w:r w:rsidR="00000000">
        <w:rPr>
          <w:i/>
          <w:iCs/>
        </w:rPr>
      </w:r>
    </w:p>
    <w:p w14:paraId="57BEBD2A" w14:textId="705B3D76" w:rsidR="008462C3" w:rsidRDefault="00966380">
      <w:pPr>
        <w:spacing w:after="80"/>
        <w:rPr>
          <w:i/>
          <w:iCs/>
        </w:rPr>
      </w:pPr>
      <w:r>
        <w:rPr>
          <w:i/>
          <w:iCs/>
        </w:rPr>
        <w:t>Email: _________________________</w:t>
      </w:r>
      <w:r w:rsidR="00000000">
        <w:rPr>
          <w:i/>
          <w:iCs/>
        </w:rPr>
      </w:r>
    </w:p>
    <w:p w14:paraId="00000032" w14:textId="661BE8CC" w:rsidR="00E32377" w:rsidRDefault="00000000">
      <w:pPr>
        <w:spacing w:after="80"/>
      </w:pPr>
      <w:r>
        <w:rPr>
          <w:i/>
          <w:iCs/>
        </w:rPr>
        <w:t>Date: ______</w:t>
      </w:r>
    </w:p>
    <w:p w14:paraId="0000003A" w14:textId="77777777" w:rsidR="00E32377" w:rsidRDefault="00E32377">
      <w:pPr>
        <w:spacing w:after="60"/>
      </w:pPr>
    </w:p>
    <w:sectPr w:rsidR="00E32377">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E01F5F4-3322-4851-9A9E-6A7479C16F83}"/>
  </w:font>
  <w:font w:name="Calibri">
    <w:panose1 w:val="020F0502020204030204"/>
    <w:charset w:val="00"/>
    <w:family w:val="swiss"/>
    <w:pitch w:val="variable"/>
    <w:sig w:usb0="E4002EFF" w:usb1="C200247B" w:usb2="00000009" w:usb3="00000000" w:csb0="000001FF" w:csb1="00000000"/>
    <w:embedRegular r:id="rId2" w:fontKey="{8738C85F-3C6C-4ED0-BB55-BF4348D1AFB8}"/>
  </w:font>
  <w:font w:name="Cambria">
    <w:panose1 w:val="02040503050406030204"/>
    <w:charset w:val="00"/>
    <w:family w:val="roman"/>
    <w:pitch w:val="variable"/>
    <w:sig w:usb0="E00006FF" w:usb1="420024FF" w:usb2="02000000" w:usb3="00000000" w:csb0="0000019F" w:csb1="00000000"/>
    <w:embedRegular r:id="rId3" w:fontKey="{5C97E311-A409-4AB9-ABE7-0EC3664B5A6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377"/>
    <w:rsid w:val="000C224E"/>
    <w:rsid w:val="003105E9"/>
    <w:rsid w:val="008462C3"/>
    <w:rsid w:val="00966380"/>
    <w:rsid w:val="00E32377"/>
    <w:rsid w:val="00FE02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180EA"/>
  <w15:docId w15:val="{E9749BAB-2566-47D4-877F-DE5C3E12A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b/>
      <w:bCs/>
      <w:color w:val="1F3864"/>
      <w:sz w:val="30"/>
      <w:szCs w:val="30"/>
    </w:rPr>
  </w:style>
  <w:style w:type="paragraph" w:styleId="Heading2">
    <w:name w:val="heading 2"/>
    <w:basedOn w:val="Normal"/>
    <w:next w:val="Normal"/>
    <w:uiPriority w:val="9"/>
    <w:unhideWhenUsed/>
    <w:qFormat/>
    <w:pPr>
      <w:pBdr>
        <w:top w:val="nil"/>
        <w:left w:val="nil"/>
        <w:bottom w:val="nil"/>
        <w:right w:val="nil"/>
        <w:between w:val="nil"/>
      </w:pBdr>
      <w:outlineLvl w:val="1"/>
    </w:pPr>
    <w:rPr>
      <w:b/>
      <w:bCs/>
      <w:color w:val="1F3864"/>
      <w:sz w:val="26"/>
      <w:szCs w:val="26"/>
    </w:rPr>
  </w:style>
  <w:style w:type="paragraph" w:styleId="Heading3">
    <w:name w:val="heading 3"/>
    <w:basedOn w:val="Normal"/>
    <w:next w:val="Normal"/>
    <w:uiPriority w:val="9"/>
    <w:unhideWhenUsed/>
    <w:qFormat/>
    <w:pPr>
      <w:pBdr>
        <w:top w:val="nil"/>
        <w:left w:val="nil"/>
        <w:bottom w:val="nil"/>
        <w:right w:val="nil"/>
        <w:between w:val="nil"/>
      </w:pBdr>
      <w:outlineLvl w:val="2"/>
    </w:pPr>
    <w:rPr>
      <w:b/>
      <w:bCs/>
      <w:color w:val="333333"/>
      <w:sz w:val="23"/>
      <w:szCs w:val="23"/>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DtKEGCPGr5Upzvp2AZTAAUc2hw==">CgMxLjA4AHIhMWR6X3NjUi03bFZTa1NQV29GVVRsY2FKekl4UmI4TWFw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530</Words>
  <Characters>3022</Characters>
  <Application>Microsoft Office Word</Application>
  <DocSecurity>0</DocSecurity>
  <Lines>25</Lines>
  <Paragraphs>7</Paragraphs>
  <ScaleCrop>false</ScaleCrop>
  <Company/>
  <LinksUpToDate>false</LinksUpToDate>
  <CharactersWithSpaces>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Norman deSilva</cp:lastModifiedBy>
  <cp:revision>4</cp:revision>
  <dcterms:created xsi:type="dcterms:W3CDTF">2026-08-24T23:28:00Z</dcterms:created>
  <dcterms:modified xsi:type="dcterms:W3CDTF">2026-10-07T21:58:00Z</dcterms:modified>
</cp:coreProperties>
</file>