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iCs/>
          <w:sz w:val="22"/>
          <w:szCs w:val="22"/>
        </w:rPr>
        <w:t xml:space="preserve">Working draft, 2026-08-15, for review with Loeb &amp; Loeb and Sunjay before use. Not an offer of securities. </w:t>
      </w:r>
      <w:r>
        <w:rPr>
          <w:rFonts w:ascii="Times New Roman" w:cs="Times New Roman" w:eastAsia="Times New Roman" w:hAnsi="Times New Roman"/>
          <w:b/>
          <w:bCs/>
          <w:i/>
          <w:iCs/>
          <w:sz w:val="22"/>
          <w:szCs w:val="22"/>
        </w:rPr>
        <w:t xml:space="preserve">Entity: Cinderella Corp., a Delaware corporation.</w:t>
      </w:r>
      <w:r>
        <w:rPr>
          <w:rFonts w:ascii="Times New Roman" w:cs="Times New Roman" w:eastAsia="Times New Roman" w:hAnsi="Times New Roman"/>
          <w:b w:val="false"/>
          <w:bCs w:val="false"/>
          <w:i/>
          <w:iCs/>
          <w:sz w:val="22"/>
          <w:szCs w:val="22"/>
        </w:rPr>
        <w:t xml:space="preserve"> Bracketed items </w:t>
      </w:r>
      <w:r>
        <w:rPr>
          <w:rFonts w:ascii="Times New Roman" w:cs="Times New Roman" w:eastAsia="Times New Roman" w:hAnsi="Times New Roman"/>
          <w:b/>
          <w:bCs/>
          <w:i/>
          <w:iCs/>
          <w:sz w:val="22"/>
          <w:szCs w:val="22"/>
        </w:rPr>
        <w:t xml:space="preserve">[LIKE THIS]</w:t>
      </w:r>
      <w:r>
        <w:rPr>
          <w:rFonts w:ascii="Times New Roman" w:cs="Times New Roman" w:eastAsia="Times New Roman" w:hAnsi="Times New Roman"/>
          <w:b w:val="false"/>
          <w:bCs w:val="false"/>
          <w:i/>
          <w:iCs/>
          <w:sz w:val="22"/>
          <w:szCs w:val="22"/>
        </w:rPr>
        <w:t xml:space="preserve"> need confirmation. Confirm adviser's exact legal name (</w:t>
      </w:r>
      <w:r>
        <w:rPr>
          <w:rFonts w:ascii="Times New Roman" w:cs="Times New Roman" w:eastAsia="Times New Roman" w:hAnsi="Times New Roman"/>
          <w:b/>
          <w:bCs/>
          <w:i/>
          <w:iCs/>
          <w:sz w:val="22"/>
          <w:szCs w:val="22"/>
        </w:rPr>
        <w:t xml:space="preserve">Ankur Jain</w:t>
      </w:r>
      <w:r>
        <w:rPr>
          <w:rFonts w:ascii="Times New Roman" w:cs="Times New Roman" w:eastAsia="Times New Roman" w:hAnsi="Times New Roman"/>
          <w:b w:val="false"/>
          <w:bCs w:val="false"/>
          <w:i/>
          <w:iCs/>
          <w:sz w:val="22"/>
          <w:szCs w:val="22"/>
        </w:rPr>
        <w:t xml:space="preserve">)._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STRATEGIC ADVISER AGREEMENT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Strategic Adviser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w:t>
      </w:r>
      <w:r>
        <w:rPr>
          <w:rFonts w:ascii="Times New Roman" w:cs="Times New Roman" w:eastAsia="Times New Roman" w:hAnsi="Times New Roman"/>
          <w:b/>
          <w:bCs/>
          <w:i w:val="false"/>
          <w:iCs w:val="false"/>
          <w:sz w:val="22"/>
          <w:szCs w:val="22"/>
        </w:rPr>
        <w:t xml:space="preserve">[___</w:t>
      </w:r>
      <w:r>
        <w:rPr>
          <w:rFonts w:ascii="Times New Roman" w:cs="Times New Roman" w:eastAsia="Times New Roman" w:hAnsi="Times New Roman"/>
          <w:b/>
          <w:bCs/>
          <w:i/>
          <w:iCs/>
          <w:sz w:val="22"/>
          <w:szCs w:val="22"/>
        </w:rPr>
        <w:t xml:space="preserve">], 2026</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Effective Date</w:t>
      </w:r>
      <w:r>
        <w:rPr>
          <w:rFonts w:ascii="Times New Roman" w:cs="Times New Roman" w:eastAsia="Times New Roman" w:hAnsi="Times New Roman"/>
          <w:b w:val="false"/>
          <w:bCs w:val="false"/>
          <w:i/>
          <w:iCs/>
          <w:sz w:val="22"/>
          <w:szCs w:val="22"/>
        </w:rPr>
        <w:t xml:space="preserve">") by and between </w:t>
      </w:r>
      <w:r>
        <w:rPr>
          <w:rFonts w:ascii="Times New Roman" w:cs="Times New Roman" w:eastAsia="Times New Roman" w:hAnsi="Times New Roman"/>
          <w:b/>
          <w:bCs/>
          <w:i/>
          <w:iCs/>
          <w:sz w:val="22"/>
          <w:szCs w:val="22"/>
        </w:rPr>
        <w:t xml:space="preserve">Cinderella Corp.</w:t>
      </w:r>
      <w:r>
        <w:rPr>
          <w:rFonts w:ascii="Times New Roman" w:cs="Times New Roman" w:eastAsia="Times New Roman" w:hAnsi="Times New Roman"/>
          <w:b w:val="false"/>
          <w:bCs w:val="false"/>
          <w:i/>
          <w:iCs/>
          <w:sz w:val="22"/>
          <w:szCs w:val="22"/>
        </w:rPr>
        <w:t xml:space="preserve">, a Delaware corporation (the "</w:t>
      </w:r>
      <w:r>
        <w:rPr>
          <w:rFonts w:ascii="Times New Roman" w:cs="Times New Roman" w:eastAsia="Times New Roman" w:hAnsi="Times New Roman"/>
          <w:b/>
          <w:bCs/>
          <w:i/>
          <w:iCs/>
          <w:sz w:val="22"/>
          <w:szCs w:val="22"/>
        </w:rPr>
        <w:t xml:space="preserve">Company</w:t>
      </w:r>
      <w:r>
        <w:rPr>
          <w:rFonts w:ascii="Times New Roman" w:cs="Times New Roman" w:eastAsia="Times New Roman" w:hAnsi="Times New Roman"/>
          <w:b w:val="false"/>
          <w:bCs w:val="false"/>
          <w:i/>
          <w:iCs/>
          <w:sz w:val="22"/>
          <w:szCs w:val="22"/>
        </w:rPr>
        <w:t xml:space="preserve">"), and </w:t>
      </w:r>
      <w:r>
        <w:rPr>
          <w:rFonts w:ascii="Times New Roman" w:cs="Times New Roman" w:eastAsia="Times New Roman" w:hAnsi="Times New Roman"/>
          <w:b/>
          <w:bCs/>
          <w:i/>
          <w:iCs/>
          <w:sz w:val="22"/>
          <w:szCs w:val="22"/>
        </w:rPr>
        <w:t xml:space="preserve">Ankur Jain</w:t>
      </w:r>
      <w:r>
        <w:rPr>
          <w:rFonts w:ascii="Times New Roman" w:cs="Times New Roman" w:eastAsia="Times New Roman" w:hAnsi="Times New Roman"/>
          <w:b w:val="false"/>
          <w:bCs w:val="false"/>
          <w:i/>
          <w:iCs/>
          <w:sz w:val="22"/>
          <w:szCs w:val="22"/>
        </w:rPr>
        <w:t xml:space="preserve"> ("</w:t>
      </w:r>
      <w:r>
        <w:rPr>
          <w:rFonts w:ascii="Times New Roman" w:cs="Times New Roman" w:eastAsia="Times New Roman" w:hAnsi="Times New Roman"/>
          <w:b/>
          <w:bCs/>
          <w:i/>
          <w:iCs/>
          <w:sz w:val="22"/>
          <w:szCs w:val="22"/>
        </w:rPr>
        <w:t xml:space="preserve">Adviser</w:t>
      </w:r>
      <w:r>
        <w:rPr>
          <w:rFonts w:ascii="Times New Roman" w:cs="Times New Roman" w:eastAsia="Times New Roman" w:hAnsi="Times New Roman"/>
          <w:b w:val="false"/>
          <w:bCs w:val="false"/>
          <w:i/>
          <w:iCs/>
          <w:sz w:val="22"/>
          <w:szCs w:val="22"/>
        </w:rPr>
        <w:t xml:space="preser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0. Condition Precedent — Outside Business Activity (OBA) Approval</w:t>
      </w:r>
    </w:p>
    <w:p>
      <w:pPr>
        <w:spacing w:after="80"/>
      </w:pPr>
      <w:r>
        <w:rPr>
          <w:rFonts w:ascii="Times New Roman" w:cs="Times New Roman" w:eastAsia="Times New Roman" w:hAnsi="Times New Roman"/>
          <w:b w:val="false"/>
          <w:bCs w:val="false"/>
          <w:i w:val="false"/>
          <w:iCs w:val="false"/>
          <w:sz w:val="22"/>
          <w:szCs w:val="22"/>
        </w:rPr>
        <w:t xml:space="preserve">0.1 </w:t>
      </w:r>
      <w:r>
        <w:rPr>
          <w:rFonts w:ascii="Times New Roman" w:cs="Times New Roman" w:eastAsia="Times New Roman" w:hAnsi="Times New Roman"/>
          <w:b/>
          <w:bCs/>
          <w:i w:val="false"/>
          <w:iCs w:val="false"/>
          <w:sz w:val="22"/>
          <w:szCs w:val="22"/>
        </w:rPr>
        <w:t xml:space="preserve">Tabor approval first.</w:t>
      </w:r>
      <w:r>
        <w:rPr>
          <w:rFonts w:ascii="Times New Roman" w:cs="Times New Roman" w:eastAsia="Times New Roman" w:hAnsi="Times New Roman"/>
          <w:b w:val="false"/>
          <w:bCs w:val="false"/>
          <w:i w:val="false"/>
          <w:iCs w:val="false"/>
          <w:sz w:val="22"/>
          <w:szCs w:val="22"/>
        </w:rPr>
        <w:t xml:space="preserve"> Notwithstanding anything else, </w:t>
      </w:r>
      <w:r>
        <w:rPr>
          <w:rFonts w:ascii="Times New Roman" w:cs="Times New Roman" w:eastAsia="Times New Roman" w:hAnsi="Times New Roman"/>
          <w:b/>
          <w:bCs/>
          <w:i w:val="false"/>
          <w:iCs w:val="false"/>
          <w:sz w:val="22"/>
          <w:szCs w:val="22"/>
        </w:rPr>
        <w:t xml:space="preserve">no title, services, fundraising participation, investor meetings, use of Adviser's name, Netflix or other distributor outreach, or board activity</w:t>
      </w:r>
      <w:r>
        <w:rPr>
          <w:rFonts w:ascii="Times New Roman" w:cs="Times New Roman" w:eastAsia="Times New Roman" w:hAnsi="Times New Roman"/>
          <w:b w:val="false"/>
          <w:bCs w:val="false"/>
          <w:i w:val="false"/>
          <w:iCs w:val="false"/>
          <w:sz w:val="22"/>
          <w:szCs w:val="22"/>
        </w:rPr>
        <w:t xml:space="preserve"> under this Agreement is authorized or effective until Adviser has obtained and delivered </w:t>
      </w:r>
      <w:r>
        <w:rPr>
          <w:rFonts w:ascii="Times New Roman" w:cs="Times New Roman" w:eastAsia="Times New Roman" w:hAnsi="Times New Roman"/>
          <w:b/>
          <w:bCs/>
          <w:i w:val="false"/>
          <w:iCs w:val="false"/>
          <w:sz w:val="22"/>
          <w:szCs w:val="22"/>
        </w:rPr>
        <w:t xml:space="preserve">written outside-business-activity approval from Tabor Asset Management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OBA Approval</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0.2 </w:t>
      </w:r>
      <w:r>
        <w:rPr>
          <w:rFonts w:ascii="Times New Roman" w:cs="Times New Roman" w:eastAsia="Times New Roman" w:hAnsi="Times New Roman"/>
          <w:b/>
          <w:bCs/>
          <w:i w:val="false"/>
          <w:iCs w:val="false"/>
          <w:sz w:val="22"/>
          <w:szCs w:val="22"/>
        </w:rPr>
        <w:t xml:space="preserve">Continuing condition.</w:t>
      </w:r>
      <w:r>
        <w:rPr>
          <w:rFonts w:ascii="Times New Roman" w:cs="Times New Roman" w:eastAsia="Times New Roman" w:hAnsi="Times New Roman"/>
          <w:b w:val="false"/>
          <w:bCs w:val="false"/>
          <w:i w:val="false"/>
          <w:iCs w:val="false"/>
          <w:sz w:val="22"/>
          <w:szCs w:val="22"/>
        </w:rPr>
        <w:t xml:space="preserve"> OBA Approval must remain in effect. If it is withdrawn, limited, or conditioned, the affected activities (and related vesting) are </w:t>
      </w:r>
      <w:r>
        <w:rPr>
          <w:rFonts w:ascii="Times New Roman" w:cs="Times New Roman" w:eastAsia="Times New Roman" w:hAnsi="Times New Roman"/>
          <w:b/>
          <w:bCs/>
          <w:i w:val="false"/>
          <w:iCs w:val="false"/>
          <w:sz w:val="22"/>
          <w:szCs w:val="22"/>
        </w:rPr>
        <w:t xml:space="preserve">suspended</w:t>
      </w:r>
      <w:r>
        <w:rPr>
          <w:rFonts w:ascii="Times New Roman" w:cs="Times New Roman" w:eastAsia="Times New Roman" w:hAnsi="Times New Roman"/>
          <w:b w:val="false"/>
          <w:bCs w:val="false"/>
          <w:i w:val="false"/>
          <w:iCs w:val="false"/>
          <w:sz w:val="22"/>
          <w:szCs w:val="22"/>
        </w:rPr>
        <w:t xml:space="preserve"> until restored; the Company may suspend or terminate under Section 10. Adviser will operate at all times within the scope of his OBA Approval.</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Services and Role</w:t>
      </w:r>
    </w:p>
    <w:p>
      <w:pPr>
        <w:spacing w:after="80"/>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bCs/>
          <w:i w:val="false"/>
          <w:iCs w:val="false"/>
          <w:sz w:val="22"/>
          <w:szCs w:val="22"/>
        </w:rPr>
        <w:t xml:space="preserve">Role.</w:t>
      </w:r>
      <w:r>
        <w:rPr>
          <w:rFonts w:ascii="Times New Roman" w:cs="Times New Roman" w:eastAsia="Times New Roman" w:hAnsi="Times New Roman"/>
          <w:b w:val="false"/>
          <w:bCs w:val="false"/>
          <w:i w:val="false"/>
          <w:iCs w:val="false"/>
          <w:sz w:val="22"/>
          <w:szCs w:val="22"/>
        </w:rPr>
        <w:t xml:space="preserve"> Adviser serves as a </w:t>
      </w:r>
      <w:r>
        <w:rPr>
          <w:rFonts w:ascii="Times New Roman" w:cs="Times New Roman" w:eastAsia="Times New Roman" w:hAnsi="Times New Roman"/>
          <w:b/>
          <w:bCs/>
          <w:i w:val="false"/>
          <w:iCs w:val="false"/>
          <w:sz w:val="22"/>
          <w:szCs w:val="22"/>
        </w:rPr>
        <w:t xml:space="preserve">non-exclusive Strategic Adviser</w:t>
      </w:r>
      <w:r>
        <w:rPr>
          <w:rFonts w:ascii="Times New Roman" w:cs="Times New Roman" w:eastAsia="Times New Roman" w:hAnsi="Times New Roman"/>
          <w:b w:val="false"/>
          <w:bCs w:val="false"/>
          <w:i w:val="false"/>
          <w:iCs w:val="false"/>
          <w:sz w:val="22"/>
          <w:szCs w:val="22"/>
        </w:rPr>
        <w:t xml:space="preserve">, providing: (a) advice on </w:t>
      </w:r>
      <w:r>
        <w:rPr>
          <w:rFonts w:ascii="Times New Roman" w:cs="Times New Roman" w:eastAsia="Times New Roman" w:hAnsi="Times New Roman"/>
          <w:b/>
          <w:bCs/>
          <w:i w:val="false"/>
          <w:iCs w:val="false"/>
          <w:sz w:val="22"/>
          <w:szCs w:val="22"/>
        </w:rPr>
        <w:t xml:space="preserve">financial structure, valuation, and capital formation</w:t>
      </w:r>
      <w:r>
        <w:rPr>
          <w:rFonts w:ascii="Times New Roman" w:cs="Times New Roman" w:eastAsia="Times New Roman" w:hAnsi="Times New Roman"/>
          <w:b w:val="false"/>
          <w:bCs w:val="false"/>
          <w:i w:val="false"/>
          <w:iCs w:val="false"/>
          <w:sz w:val="22"/>
          <w:szCs w:val="22"/>
        </w:rPr>
        <w:t xml:space="preserve">; (b) </w:t>
      </w:r>
      <w:r>
        <w:rPr>
          <w:rFonts w:ascii="Times New Roman" w:cs="Times New Roman" w:eastAsia="Times New Roman" w:hAnsi="Times New Roman"/>
          <w:b/>
          <w:bCs/>
          <w:i w:val="false"/>
          <w:iCs w:val="false"/>
          <w:sz w:val="22"/>
          <w:szCs w:val="22"/>
        </w:rPr>
        <w:t xml:space="preserve">financial oversight and approval of the Company's financial materials</w:t>
      </w:r>
      <w:r>
        <w:rPr>
          <w:rFonts w:ascii="Times New Roman" w:cs="Times New Roman" w:eastAsia="Times New Roman" w:hAnsi="Times New Roman"/>
          <w:b w:val="false"/>
          <w:bCs w:val="false"/>
          <w:i w:val="false"/>
          <w:iCs w:val="false"/>
          <w:sz w:val="22"/>
          <w:szCs w:val="22"/>
        </w:rPr>
        <w:t xml:space="preserve"> (models, investor financial decks, financial terms); (c) participation in </w:t>
      </w:r>
      <w:r>
        <w:rPr>
          <w:rFonts w:ascii="Times New Roman" w:cs="Times New Roman" w:eastAsia="Times New Roman" w:hAnsi="Times New Roman"/>
          <w:b/>
          <w:bCs/>
          <w:i w:val="false"/>
          <w:iCs w:val="false"/>
          <w:sz w:val="22"/>
          <w:szCs w:val="22"/>
        </w:rPr>
        <w:t xml:space="preserve">PE/investor and distributor meetings</w:t>
      </w:r>
      <w:r>
        <w:rPr>
          <w:rFonts w:ascii="Times New Roman" w:cs="Times New Roman" w:eastAsia="Times New Roman" w:hAnsi="Times New Roman"/>
          <w:b w:val="false"/>
          <w:bCs w:val="false"/>
          <w:i w:val="false"/>
          <w:iCs w:val="false"/>
          <w:sz w:val="22"/>
          <w:szCs w:val="22"/>
        </w:rPr>
        <w:t xml:space="preserve"> (subject to OBA and Section 1.3); and (d) introductions across his network.</w:t>
      </w:r>
    </w:p>
    <w:p>
      <w:pPr>
        <w:spacing w:after="80"/>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bCs/>
          <w:i w:val="false"/>
          <w:iCs w:val="false"/>
          <w:sz w:val="22"/>
          <w:szCs w:val="22"/>
        </w:rPr>
        <w:t xml:space="preserve">Financial materials approval.</w:t>
      </w:r>
      <w:r>
        <w:rPr>
          <w:rFonts w:ascii="Times New Roman" w:cs="Times New Roman" w:eastAsia="Times New Roman" w:hAnsi="Times New Roman"/>
          <w:b w:val="false"/>
          <w:bCs w:val="false"/>
          <w:i w:val="false"/>
          <w:iCs w:val="false"/>
          <w:sz w:val="22"/>
          <w:szCs w:val="22"/>
        </w:rPr>
        <w:t xml:space="preserve"> The Company will not distribute </w:t>
      </w:r>
      <w:r>
        <w:rPr>
          <w:rFonts w:ascii="Times New Roman" w:cs="Times New Roman" w:eastAsia="Times New Roman" w:hAnsi="Times New Roman"/>
          <w:b/>
          <w:bCs/>
          <w:i w:val="false"/>
          <w:iCs w:val="false"/>
          <w:sz w:val="22"/>
          <w:szCs w:val="22"/>
        </w:rPr>
        <w:t xml:space="preserve">financial materials</w:t>
      </w:r>
      <w:r>
        <w:rPr>
          <w:rFonts w:ascii="Times New Roman" w:cs="Times New Roman" w:eastAsia="Times New Roman" w:hAnsi="Times New Roman"/>
          <w:b w:val="false"/>
          <w:bCs w:val="false"/>
          <w:i w:val="false"/>
          <w:iCs w:val="false"/>
          <w:sz w:val="22"/>
          <w:szCs w:val="22"/>
        </w:rPr>
        <w:t xml:space="preserve"> externally without Adviser's review and approval, not to be unreasonably withheld or delayed. </w:t>
      </w:r>
      <w:r>
        <w:rPr>
          <w:rFonts w:ascii="Times New Roman" w:cs="Times New Roman" w:eastAsia="Times New Roman" w:hAnsi="Times New Roman"/>
          <w:b/>
          <w:bCs/>
          <w:i w:val="false"/>
          <w:iCs w:val="false"/>
          <w:sz w:val="22"/>
          <w:szCs w:val="22"/>
        </w:rPr>
        <w:t xml:space="preserve">[Scope limited to *financial* materials; confirm — this is a meaningful approval/veto right.]</w:t>
      </w:r>
    </w:p>
    <w:p>
      <w:pPr>
        <w:spacing w:after="80"/>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bCs/>
          <w:i w:val="false"/>
          <w:iCs w:val="false"/>
          <w:sz w:val="22"/>
          <w:szCs w:val="22"/>
        </w:rPr>
        <w:t xml:space="preserve">Limits / no broker.</w:t>
      </w:r>
      <w:r>
        <w:rPr>
          <w:rFonts w:ascii="Times New Roman" w:cs="Times New Roman" w:eastAsia="Times New Roman" w:hAnsi="Times New Roman"/>
          <w:b w:val="false"/>
          <w:bCs w:val="false"/>
          <w:i w:val="false"/>
          <w:iCs w:val="false"/>
          <w:sz w:val="22"/>
          <w:szCs w:val="22"/>
        </w:rPr>
        <w:t xml:space="preserve"> Adviser is </w:t>
      </w:r>
      <w:r>
        <w:rPr>
          <w:rFonts w:ascii="Times New Roman" w:cs="Times New Roman" w:eastAsia="Times New Roman" w:hAnsi="Times New Roman"/>
          <w:b/>
          <w:bCs/>
          <w:i w:val="false"/>
          <w:iCs w:val="false"/>
          <w:sz w:val="22"/>
          <w:szCs w:val="22"/>
        </w:rPr>
        <w:t xml:space="preserve">not an officer, director, employee, or agent</w:t>
      </w:r>
      <w:r>
        <w:rPr>
          <w:rFonts w:ascii="Times New Roman" w:cs="Times New Roman" w:eastAsia="Times New Roman" w:hAnsi="Times New Roman"/>
          <w:b w:val="false"/>
          <w:bCs w:val="false"/>
          <w:i w:val="false"/>
          <w:iCs w:val="false"/>
          <w:sz w:val="22"/>
          <w:szCs w:val="22"/>
        </w:rPr>
        <w:t xml:space="preserve">, has </w:t>
      </w:r>
      <w:r>
        <w:rPr>
          <w:rFonts w:ascii="Times New Roman" w:cs="Times New Roman" w:eastAsia="Times New Roman" w:hAnsi="Times New Roman"/>
          <w:b/>
          <w:bCs/>
          <w:i w:val="false"/>
          <w:iCs w:val="false"/>
          <w:sz w:val="22"/>
          <w:szCs w:val="22"/>
        </w:rPr>
        <w:t xml:space="preserve">no authority to bind</w:t>
      </w:r>
      <w:r>
        <w:rPr>
          <w:rFonts w:ascii="Times New Roman" w:cs="Times New Roman" w:eastAsia="Times New Roman" w:hAnsi="Times New Roman"/>
          <w:b w:val="false"/>
          <w:bCs w:val="false"/>
          <w:i w:val="false"/>
          <w:iCs w:val="false"/>
          <w:sz w:val="22"/>
          <w:szCs w:val="22"/>
        </w:rPr>
        <w:t xml:space="preserve"> the Company, will </w:t>
      </w:r>
      <w:r>
        <w:rPr>
          <w:rFonts w:ascii="Times New Roman" w:cs="Times New Roman" w:eastAsia="Times New Roman" w:hAnsi="Times New Roman"/>
          <w:b/>
          <w:bCs/>
          <w:i w:val="false"/>
          <w:iCs w:val="false"/>
          <w:sz w:val="22"/>
          <w:szCs w:val="22"/>
        </w:rPr>
        <w:t xml:space="preserve">not execute or sign</w:t>
      </w:r>
      <w:r>
        <w:rPr>
          <w:rFonts w:ascii="Times New Roman" w:cs="Times New Roman" w:eastAsia="Times New Roman" w:hAnsi="Times New Roman"/>
          <w:b w:val="false"/>
          <w:bCs w:val="false"/>
          <w:i w:val="false"/>
          <w:iCs w:val="false"/>
          <w:sz w:val="22"/>
          <w:szCs w:val="22"/>
        </w:rPr>
        <w:t xml:space="preserve"> agreements on its behalf, and is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engaged as a broker, finder, or placement agent; </w:t>
      </w:r>
      <w:r>
        <w:rPr>
          <w:rFonts w:ascii="Times New Roman" w:cs="Times New Roman" w:eastAsia="Times New Roman" w:hAnsi="Times New Roman"/>
          <w:b/>
          <w:bCs/>
          <w:i w:val="false"/>
          <w:iCs w:val="false"/>
          <w:sz w:val="22"/>
          <w:szCs w:val="22"/>
        </w:rPr>
        <w:t xml:space="preserve">no compensation under this Agreement is contingent on the sale of securities or on the size or closing of any financing.</w:t>
      </w:r>
      <w:r>
        <w:rPr>
          <w:rFonts w:ascii="Times New Roman" w:cs="Times New Roman" w:eastAsia="Times New Roman" w:hAnsi="Times New Roman"/>
          <w:b w:val="false"/>
          <w:bCs w:val="false"/>
          <w:i w:val="false"/>
          <w:iCs w:val="false"/>
          <w:sz w:val="22"/>
          <w:szCs w:val="22"/>
        </w:rPr>
        <w:t xml:space="preserve"> (See Section 2.)</w:t>
      </w:r>
    </w:p>
    <w:p>
      <w:pPr>
        <w:spacing w:after="80"/>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bCs/>
          <w:i w:val="false"/>
          <w:iCs w:val="false"/>
          <w:sz w:val="22"/>
          <w:szCs w:val="22"/>
        </w:rPr>
        <w:t xml:space="preserve">Non-exclusive.</w:t>
      </w:r>
      <w:r>
        <w:rPr>
          <w:rFonts w:ascii="Times New Roman" w:cs="Times New Roman" w:eastAsia="Times New Roman" w:hAnsi="Times New Roman"/>
          <w:b w:val="false"/>
          <w:bCs w:val="false"/>
          <w:i w:val="false"/>
          <w:iCs w:val="false"/>
          <w:sz w:val="22"/>
          <w:szCs w:val="22"/>
        </w:rPr>
        <w:t xml:space="preserve"> Adviser may continue Tabor and his other activities, subject to OBA and Sections 6–8.</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Compensation — Equity (only; no cash)</w:t>
      </w:r>
    </w:p>
    <w:p>
      <w:pPr>
        <w:spacing w:after="80"/>
      </w:pPr>
      <w:r>
        <w:rPr>
          <w:rFonts w:ascii="Times New Roman" w:cs="Times New Roman" w:eastAsia="Times New Roman" w:hAnsi="Times New Roman"/>
          <w:b w:val="false"/>
          <w:bCs w:val="false"/>
          <w:i w:val="false"/>
          <w:iCs w:val="false"/>
          <w:sz w:val="22"/>
          <w:szCs w:val="22"/>
        </w:rPr>
        <w:t xml:space="preserve">2.1 </w:t>
      </w:r>
      <w:r>
        <w:rPr>
          <w:rFonts w:ascii="Times New Roman" w:cs="Times New Roman" w:eastAsia="Times New Roman" w:hAnsi="Times New Roman"/>
          <w:b/>
          <w:bCs/>
          <w:i w:val="false"/>
          <w:iCs w:val="false"/>
          <w:sz w:val="22"/>
          <w:szCs w:val="22"/>
        </w:rPr>
        <w:t xml:space="preserve">Role Equity — 4%.</w:t>
      </w:r>
      <w:r>
        <w:rPr>
          <w:rFonts w:ascii="Times New Roman" w:cs="Times New Roman" w:eastAsia="Times New Roman" w:hAnsi="Times New Roman"/>
          <w:b w:val="false"/>
          <w:bCs w:val="false"/>
          <w:i w:val="false"/>
          <w:iCs w:val="false"/>
          <w:sz w:val="22"/>
          <w:szCs w:val="22"/>
        </w:rPr>
        <w:t xml:space="preserve"> The Company will grant Adviser </w:t>
      </w:r>
      <w:r>
        <w:rPr>
          <w:rFonts w:ascii="Times New Roman" w:cs="Times New Roman" w:eastAsia="Times New Roman" w:hAnsi="Times New Roman"/>
          <w:b/>
          <w:bCs/>
          <w:i w:val="false"/>
          <w:iCs w:val="false"/>
          <w:sz w:val="22"/>
          <w:szCs w:val="22"/>
        </w:rPr>
        <w:t xml:space="preserve">restricted Class A Common Stock equal to 4% of the Company</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Role Shares</w:t>
      </w:r>
      <w:r>
        <w:rPr>
          <w:rFonts w:ascii="Times New Roman" w:cs="Times New Roman" w:eastAsia="Times New Roman" w:hAnsi="Times New Roman"/>
          <w:b w:val="false"/>
          <w:bCs w:val="false"/>
          <w:i w:val="false"/>
          <w:iCs w:val="false"/>
          <w:sz w:val="22"/>
          <w:szCs w:val="22"/>
        </w:rPr>
        <w:t xml:space="preserve">"), measured per Section 2.4, vesting </w:t>
      </w:r>
      <w:r>
        <w:rPr>
          <w:rFonts w:ascii="Times New Roman" w:cs="Times New Roman" w:eastAsia="Times New Roman" w:hAnsi="Times New Roman"/>
          <w:b/>
          <w:bCs/>
          <w:i w:val="false"/>
          <w:iCs w:val="false"/>
          <w:sz w:val="22"/>
          <w:szCs w:val="22"/>
        </w:rPr>
        <w:t xml:space="preserve">monthly over 36 months</w:t>
      </w:r>
      <w:r>
        <w:rPr>
          <w:rFonts w:ascii="Times New Roman" w:cs="Times New Roman" w:eastAsia="Times New Roman" w:hAnsi="Times New Roman"/>
          <w:b w:val="false"/>
          <w:bCs w:val="false"/>
          <w:i w:val="false"/>
          <w:iCs w:val="false"/>
          <w:sz w:val="22"/>
          <w:szCs w:val="22"/>
        </w:rPr>
        <w:t xml:space="preserve"> from the </w:t>
      </w:r>
      <w:r>
        <w:rPr>
          <w:rFonts w:ascii="Times New Roman" w:cs="Times New Roman" w:eastAsia="Times New Roman" w:hAnsi="Times New Roman"/>
          <w:b/>
          <w:bCs/>
          <w:i w:val="false"/>
          <w:iCs w:val="false"/>
          <w:sz w:val="22"/>
          <w:szCs w:val="22"/>
        </w:rPr>
        <w:t xml:space="preserve">[Effective Date / vesting commencement]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no cliff</w:t>
      </w:r>
      <w:r>
        <w:rPr>
          <w:rFonts w:ascii="Times New Roman" w:cs="Times New Roman" w:eastAsia="Times New Roman" w:hAnsi="Times New Roman"/>
          <w:b w:val="false"/>
          <w:bCs w:val="false"/>
          <w:i w:val="false"/>
          <w:iCs w:val="false"/>
          <w:sz w:val="22"/>
          <w:szCs w:val="22"/>
        </w:rPr>
        <w:t xml:space="preserve">, subject to continued service and OBA Approval. The Role Shares compensate the </w:t>
      </w:r>
      <w:r>
        <w:rPr>
          <w:rFonts w:ascii="Times New Roman" w:cs="Times New Roman" w:eastAsia="Times New Roman" w:hAnsi="Times New Roman"/>
          <w:b/>
          <w:bCs/>
          <w:i w:val="false"/>
          <w:iCs w:val="false"/>
          <w:sz w:val="22"/>
          <w:szCs w:val="22"/>
        </w:rPr>
        <w:t xml:space="preserve">advisory role</w:t>
      </w:r>
      <w:r>
        <w:rPr>
          <w:rFonts w:ascii="Times New Roman" w:cs="Times New Roman" w:eastAsia="Times New Roman" w:hAnsi="Times New Roman"/>
          <w:b w:val="false"/>
          <w:bCs w:val="false"/>
          <w:i w:val="false"/>
          <w:iCs w:val="false"/>
          <w:sz w:val="22"/>
          <w:szCs w:val="22"/>
        </w:rPr>
        <w:t xml:space="preserve"> and are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contingent on any financing.</w:t>
      </w:r>
    </w:p>
    <w:p>
      <w:pPr>
        <w:spacing w:after="80"/>
      </w:pPr>
      <w:r>
        <w:rPr>
          <w:rFonts w:ascii="Times New Roman" w:cs="Times New Roman" w:eastAsia="Times New Roman" w:hAnsi="Times New Roman"/>
          <w:b w:val="false"/>
          <w:bCs w:val="false"/>
          <w:i w:val="false"/>
          <w:iCs w:val="false"/>
          <w:sz w:val="22"/>
          <w:szCs w:val="22"/>
        </w:rPr>
        <w:t xml:space="preserve">2.2 </w:t>
      </w:r>
      <w:r>
        <w:rPr>
          <w:rFonts w:ascii="Times New Roman" w:cs="Times New Roman" w:eastAsia="Times New Roman" w:hAnsi="Times New Roman"/>
          <w:b/>
          <w:bCs/>
          <w:i w:val="false"/>
          <w:iCs w:val="false"/>
          <w:sz w:val="22"/>
          <w:szCs w:val="22"/>
        </w:rPr>
        <w:t xml:space="preserve">Netflix Milestone Equity — up to 2%.</w:t>
      </w:r>
      <w:r>
        <w:rPr>
          <w:rFonts w:ascii="Times New Roman" w:cs="Times New Roman" w:eastAsia="Times New Roman" w:hAnsi="Times New Roman"/>
          <w:b w:val="false"/>
          <w:bCs w:val="false"/>
          <w:i w:val="false"/>
          <w:iCs w:val="false"/>
          <w:sz w:val="22"/>
          <w:szCs w:val="22"/>
        </w:rPr>
        <w:t xml:space="preserve"> The Company will additionally grant restricted Class A Common Stock, vesting </w:t>
      </w:r>
      <w:r>
        <w:rPr>
          <w:rFonts w:ascii="Times New Roman" w:cs="Times New Roman" w:eastAsia="Times New Roman" w:hAnsi="Times New Roman"/>
          <w:b/>
          <w:bCs/>
          <w:i w:val="false"/>
          <w:iCs w:val="false"/>
          <w:sz w:val="22"/>
          <w:szCs w:val="22"/>
        </w:rPr>
        <w:t xml:space="preserve">only</w:t>
      </w:r>
      <w:r>
        <w:rPr>
          <w:rFonts w:ascii="Times New Roman" w:cs="Times New Roman" w:eastAsia="Times New Roman" w:hAnsi="Times New Roman"/>
          <w:b w:val="false"/>
          <w:bCs w:val="false"/>
          <w:i w:val="false"/>
          <w:iCs w:val="false"/>
          <w:sz w:val="22"/>
          <w:szCs w:val="22"/>
        </w:rPr>
        <w:t xml:space="preserve"> upon achievement (during OBA-approved activity) of the following </w:t>
      </w:r>
      <w:r>
        <w:rPr>
          <w:rFonts w:ascii="Times New Roman" w:cs="Times New Roman" w:eastAsia="Times New Roman" w:hAnsi="Times New Roman"/>
          <w:b/>
          <w:bCs/>
          <w:i w:val="false"/>
          <w:iCs w:val="false"/>
          <w:sz w:val="22"/>
          <w:szCs w:val="22"/>
        </w:rPr>
        <w:t xml:space="preserve">Netflix</w:t>
      </w:r>
      <w:r>
        <w:rPr>
          <w:rFonts w:ascii="Times New Roman" w:cs="Times New Roman" w:eastAsia="Times New Roman" w:hAnsi="Times New Roman"/>
          <w:b w:val="false"/>
          <w:bCs w:val="false"/>
          <w:i w:val="false"/>
          <w:iCs w:val="false"/>
          <w:sz w:val="22"/>
          <w:szCs w:val="22"/>
        </w:rPr>
        <w:t xml:space="preserve">-specific milestones </w:t>
      </w:r>
      <w:r>
        <w:rPr>
          <w:rFonts w:ascii="Times New Roman" w:cs="Times New Roman" w:eastAsia="Times New Roman" w:hAnsi="Times New Roman"/>
          <w:b/>
          <w:bCs/>
          <w:i w:val="false"/>
          <w:iCs w:val="false"/>
          <w:sz w:val="22"/>
          <w:szCs w:val="22"/>
        </w:rPr>
        <w:t xml:space="preserve">[breakdown scaled to 2% — confirm]</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0.5%</w:t>
      </w:r>
      <w:r>
        <w:rPr>
          <w:rFonts w:ascii="Times New Roman" w:cs="Times New Roman" w:eastAsia="Times New Roman" w:hAnsi="Times New Roman"/>
          <w:b w:val="false"/>
          <w:bCs w:val="false"/>
          <w:i w:val="false"/>
          <w:iCs w:val="false"/>
          <w:sz w:val="22"/>
          <w:szCs w:val="22"/>
        </w:rPr>
        <w:t xml:space="preserve"> — a senior-level Netflix meeting proceeding to diligence;</w:t>
      </w:r>
    </w:p>
    <w:p>
      <w:pPr>
        <w:spacing w:after="80"/>
      </w:pPr>
      <w:r>
        <w:rPr>
          <w:rFonts w:ascii="Times New Roman" w:cs="Times New Roman" w:eastAsia="Times New Roman" w:hAnsi="Times New Roman"/>
          <w:b w:val="false"/>
          <w:bCs w:val="false"/>
          <w:i w:val="false"/>
          <w:iCs w:val="false"/>
          <w:sz w:val="22"/>
          <w:szCs w:val="22"/>
        </w:rPr>
        <w:t xml:space="preserve">  (b) </w:t>
      </w:r>
      <w:r>
        <w:rPr>
          <w:rFonts w:ascii="Times New Roman" w:cs="Times New Roman" w:eastAsia="Times New Roman" w:hAnsi="Times New Roman"/>
          <w:b/>
          <w:bCs/>
          <w:i w:val="false"/>
          <w:iCs w:val="false"/>
          <w:sz w:val="22"/>
          <w:szCs w:val="22"/>
        </w:rPr>
        <w:t xml:space="preserve">0.5%</w:t>
      </w:r>
      <w:r>
        <w:rPr>
          <w:rFonts w:ascii="Times New Roman" w:cs="Times New Roman" w:eastAsia="Times New Roman" w:hAnsi="Times New Roman"/>
          <w:b w:val="false"/>
          <w:bCs w:val="false"/>
          <w:i w:val="false"/>
          <w:iCs w:val="false"/>
          <w:sz w:val="22"/>
          <w:szCs w:val="22"/>
        </w:rPr>
        <w:t xml:space="preserve"> — a qualifying Netflix term sheet; and</w:t>
      </w:r>
    </w:p>
    <w:p>
      <w:pPr>
        <w:spacing w:after="80"/>
      </w:pPr>
      <w:r>
        <w:rPr>
          <w:rFonts w:ascii="Times New Roman" w:cs="Times New Roman" w:eastAsia="Times New Roman" w:hAnsi="Times New Roman"/>
          <w:b w:val="false"/>
          <w:bCs w:val="false"/>
          <w:i w:val="false"/>
          <w:iCs w:val="false"/>
          <w:sz w:val="22"/>
          <w:szCs w:val="22"/>
        </w:rPr>
        <w:t xml:space="preserve">  (c) </w:t>
      </w:r>
      <w:r>
        <w:rPr>
          <w:rFonts w:ascii="Times New Roman" w:cs="Times New Roman" w:eastAsia="Times New Roman" w:hAnsi="Times New Roman"/>
          <w:b/>
          <w:bCs/>
          <w:i w:val="false"/>
          <w:iCs w:val="false"/>
          <w:sz w:val="22"/>
          <w:szCs w:val="22"/>
        </w:rPr>
        <w:t xml:space="preserve">1.0%</w:t>
      </w:r>
      <w:r>
        <w:rPr>
          <w:rFonts w:ascii="Times New Roman" w:cs="Times New Roman" w:eastAsia="Times New Roman" w:hAnsi="Times New Roman"/>
          <w:b w:val="false"/>
          <w:bCs w:val="false"/>
          <w:i w:val="false"/>
          <w:iCs w:val="false"/>
          <w:sz w:val="22"/>
          <w:szCs w:val="22"/>
        </w:rPr>
        <w:t xml:space="preserve"> — a </w:t>
      </w:r>
      <w:r>
        <w:rPr>
          <w:rFonts w:ascii="Times New Roman" w:cs="Times New Roman" w:eastAsia="Times New Roman" w:hAnsi="Times New Roman"/>
          <w:b/>
          <w:bCs/>
          <w:i w:val="false"/>
          <w:iCs w:val="false"/>
          <w:sz w:val="22"/>
          <w:szCs w:val="22"/>
        </w:rPr>
        <w:t xml:space="preserve">definitive Netflix TV-rights agreement plus the initial guaranteed payment.</w:t>
      </w:r>
    </w:p>
    <w:p>
      <w:pPr>
        <w:spacing w:after="80"/>
      </w:pPr>
      <w:r>
        <w:rPr>
          <w:rFonts w:ascii="Times New Roman" w:cs="Times New Roman" w:eastAsia="Times New Roman" w:hAnsi="Times New Roman"/>
          <w:b w:val="false"/>
          <w:bCs w:val="false"/>
          <w:i w:val="false"/>
          <w:iCs w:val="false"/>
          <w:sz w:val="22"/>
          <w:szCs w:val="22"/>
        </w:rPr>
        <w:t xml:space="preserve">  This milestone equity is </w:t>
      </w:r>
      <w:r>
        <w:rPr>
          <w:rFonts w:ascii="Times New Roman" w:cs="Times New Roman" w:eastAsia="Times New Roman" w:hAnsi="Times New Roman"/>
          <w:b/>
          <w:bCs/>
          <w:i w:val="false"/>
          <w:iCs w:val="false"/>
          <w:sz w:val="22"/>
          <w:szCs w:val="22"/>
        </w:rPr>
        <w:t xml:space="preserve">Netflix-specific</w:t>
      </w:r>
      <w:r>
        <w:rPr>
          <w:rFonts w:ascii="Times New Roman" w:cs="Times New Roman" w:eastAsia="Times New Roman" w:hAnsi="Times New Roman"/>
          <w:b w:val="false"/>
          <w:bCs w:val="false"/>
          <w:i w:val="false"/>
          <w:iCs w:val="false"/>
          <w:sz w:val="22"/>
          <w:szCs w:val="22"/>
        </w:rPr>
        <w:t xml:space="preserve"> (a deal with another distributor does not trigger it — favorable to the Company). </w:t>
      </w:r>
      <w:r>
        <w:rPr>
          <w:rFonts w:ascii="Times New Roman" w:cs="Times New Roman" w:eastAsia="Times New Roman" w:hAnsi="Times New Roman"/>
          <w:b/>
          <w:bCs/>
          <w:i w:val="false"/>
          <w:iCs w:val="false"/>
          <w:sz w:val="22"/>
          <w:szCs w:val="22"/>
        </w:rPr>
        <w:t xml:space="preserve">[Confirm keep Netflix-only vs. broaden to any streamer.]</w:t>
      </w:r>
    </w:p>
    <w:p>
      <w:pPr>
        <w:spacing w:after="80"/>
      </w:pPr>
      <w:r>
        <w:rPr>
          <w:rFonts w:ascii="Times New Roman" w:cs="Times New Roman" w:eastAsia="Times New Roman" w:hAnsi="Times New Roman"/>
          <w:b w:val="false"/>
          <w:bCs w:val="false"/>
          <w:i w:val="false"/>
          <w:iCs w:val="false"/>
          <w:sz w:val="22"/>
          <w:szCs w:val="22"/>
        </w:rPr>
        <w:t xml:space="preserve">2.3 </w:t>
      </w:r>
      <w:r>
        <w:rPr>
          <w:rFonts w:ascii="Times New Roman" w:cs="Times New Roman" w:eastAsia="Times New Roman" w:hAnsi="Times New Roman"/>
          <w:b/>
          <w:bCs/>
          <w:i w:val="false"/>
          <w:iCs w:val="false"/>
          <w:sz w:val="22"/>
          <w:szCs w:val="22"/>
        </w:rPr>
        <w:t xml:space="preserve">Anti-dilution — Seed Round only.</w:t>
      </w:r>
      <w:r>
        <w:rPr>
          <w:rFonts w:ascii="Times New Roman" w:cs="Times New Roman" w:eastAsia="Times New Roman" w:hAnsi="Times New Roman"/>
          <w:b w:val="false"/>
          <w:bCs w:val="false"/>
          <w:i w:val="false"/>
          <w:iCs w:val="false"/>
          <w:sz w:val="22"/>
          <w:szCs w:val="22"/>
        </w:rPr>
        <w:t xml:space="preserve"> Adviser's equity is </w:t>
      </w:r>
      <w:r>
        <w:rPr>
          <w:rFonts w:ascii="Times New Roman" w:cs="Times New Roman" w:eastAsia="Times New Roman" w:hAnsi="Times New Roman"/>
          <w:b/>
          <w:bCs/>
          <w:i w:val="false"/>
          <w:iCs w:val="false"/>
          <w:sz w:val="22"/>
          <w:szCs w:val="22"/>
        </w:rPr>
        <w:t xml:space="preserve">measured on the fully-diluted capitalization immediately after completion of the Seed Round</w:t>
      </w:r>
      <w:r>
        <w:rPr>
          <w:rFonts w:ascii="Times New Roman" w:cs="Times New Roman" w:eastAsia="Times New Roman" w:hAnsi="Times New Roman"/>
          <w:b w:val="false"/>
          <w:bCs w:val="false"/>
          <w:i w:val="false"/>
          <w:iCs w:val="false"/>
          <w:sz w:val="22"/>
          <w:szCs w:val="22"/>
        </w:rPr>
        <w:t xml:space="preserve"> (the $1,500,000 / 15% raise), so </w:t>
      </w:r>
      <w:r>
        <w:rPr>
          <w:rFonts w:ascii="Times New Roman" w:cs="Times New Roman" w:eastAsia="Times New Roman" w:hAnsi="Times New Roman"/>
          <w:b/>
          <w:bCs/>
          <w:i w:val="false"/>
          <w:iCs w:val="false"/>
          <w:sz w:val="22"/>
          <w:szCs w:val="22"/>
        </w:rPr>
        <w:t xml:space="preserve">the Seed Round does not dilute Adviser.</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After</w:t>
      </w:r>
      <w:r>
        <w:rPr>
          <w:rFonts w:ascii="Times New Roman" w:cs="Times New Roman" w:eastAsia="Times New Roman" w:hAnsi="Times New Roman"/>
          <w:b w:val="false"/>
          <w:bCs w:val="false"/>
          <w:i w:val="false"/>
          <w:iCs w:val="false"/>
          <w:sz w:val="22"/>
          <w:szCs w:val="22"/>
        </w:rPr>
        <w:t xml:space="preserve"> the Seed Round is complete, Adviser's shares are subject to </w:t>
      </w:r>
      <w:r>
        <w:rPr>
          <w:rFonts w:ascii="Times New Roman" w:cs="Times New Roman" w:eastAsia="Times New Roman" w:hAnsi="Times New Roman"/>
          <w:b/>
          <w:bCs/>
          <w:i w:val="false"/>
          <w:iCs w:val="false"/>
          <w:sz w:val="22"/>
          <w:szCs w:val="22"/>
        </w:rPr>
        <w:t xml:space="preserve">ordinary, pro-rata dilution on the same basis as the Founders</w:t>
      </w:r>
      <w:r>
        <w:rPr>
          <w:rFonts w:ascii="Times New Roman" w:cs="Times New Roman" w:eastAsia="Times New Roman" w:hAnsi="Times New Roman"/>
          <w:b w:val="false"/>
          <w:bCs w:val="false"/>
          <w:i w:val="false"/>
          <w:iCs w:val="false"/>
          <w:sz w:val="22"/>
          <w:szCs w:val="22"/>
        </w:rPr>
        <w:t xml:space="preserve"> on all subsequent issuances — </w:t>
      </w:r>
      <w:r>
        <w:rPr>
          <w:rFonts w:ascii="Times New Roman" w:cs="Times New Roman" w:eastAsia="Times New Roman" w:hAnsi="Times New Roman"/>
          <w:b/>
          <w:bCs/>
          <w:i w:val="false"/>
          <w:iCs w:val="false"/>
          <w:sz w:val="22"/>
          <w:szCs w:val="22"/>
        </w:rPr>
        <w:t xml:space="preserve">no further anti-dilution protection.</w:t>
      </w:r>
    </w:p>
    <w:p>
      <w:pPr>
        <w:spacing w:after="80"/>
      </w:pPr>
      <w:r>
        <w:rPr>
          <w:rFonts w:ascii="Times New Roman" w:cs="Times New Roman" w:eastAsia="Times New Roman" w:hAnsi="Times New Roman"/>
          <w:b w:val="false"/>
          <w:bCs w:val="false"/>
          <w:i w:val="false"/>
          <w:iCs w:val="false"/>
          <w:sz w:val="22"/>
          <w:szCs w:val="22"/>
        </w:rPr>
        <w:t xml:space="preserve">2.4 </w:t>
      </w:r>
      <w:r>
        <w:rPr>
          <w:rFonts w:ascii="Times New Roman" w:cs="Times New Roman" w:eastAsia="Times New Roman" w:hAnsi="Times New Roman"/>
          <w:b/>
          <w:bCs/>
          <w:i w:val="false"/>
          <w:iCs w:val="false"/>
          <w:sz w:val="22"/>
          <w:szCs w:val="22"/>
        </w:rPr>
        <w:t xml:space="preserve">Class A only.</w:t>
      </w:r>
      <w:r>
        <w:rPr>
          <w:rFonts w:ascii="Times New Roman" w:cs="Times New Roman" w:eastAsia="Times New Roman" w:hAnsi="Times New Roman"/>
          <w:b w:val="false"/>
          <w:bCs w:val="false"/>
          <w:i w:val="false"/>
          <w:iCs w:val="false"/>
          <w:sz w:val="22"/>
          <w:szCs w:val="22"/>
        </w:rPr>
        <w:t xml:space="preserve"> All shares are </w:t>
      </w:r>
      <w:r>
        <w:rPr>
          <w:rFonts w:ascii="Times New Roman" w:cs="Times New Roman" w:eastAsia="Times New Roman" w:hAnsi="Times New Roman"/>
          <w:b/>
          <w:bCs/>
          <w:i w:val="false"/>
          <w:iCs w:val="false"/>
          <w:sz w:val="22"/>
          <w:szCs w:val="22"/>
        </w:rPr>
        <w:t xml:space="preserve">Class A Common (1 vote/share)</w:t>
      </w:r>
      <w:r>
        <w:rPr>
          <w:rFonts w:ascii="Times New Roman" w:cs="Times New Roman" w:eastAsia="Times New Roman" w:hAnsi="Times New Roman"/>
          <w:b w:val="false"/>
          <w:bCs w:val="false"/>
          <w:i w:val="false"/>
          <w:iCs w:val="false"/>
          <w:sz w:val="22"/>
          <w:szCs w:val="22"/>
        </w:rPr>
        <w:t xml:space="preserve">; Adviser does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receive Class B / super-voting stock (held solely by Norman C. de Silva).</w:t>
      </w:r>
    </w:p>
    <w:p>
      <w:pPr>
        <w:spacing w:after="80"/>
      </w:pPr>
      <w:r>
        <w:rPr>
          <w:rFonts w:ascii="Times New Roman" w:cs="Times New Roman" w:eastAsia="Times New Roman" w:hAnsi="Times New Roman"/>
          <w:b w:val="false"/>
          <w:bCs w:val="false"/>
          <w:i w:val="false"/>
          <w:iCs w:val="false"/>
          <w:sz w:val="22"/>
          <w:szCs w:val="22"/>
        </w:rPr>
        <w:t xml:space="preserve">2.5 </w:t>
      </w:r>
      <w:r>
        <w:rPr>
          <w:rFonts w:ascii="Times New Roman" w:cs="Times New Roman" w:eastAsia="Times New Roman" w:hAnsi="Times New Roman"/>
          <w:b/>
          <w:bCs/>
          <w:i w:val="false"/>
          <w:iCs w:val="false"/>
          <w:sz w:val="22"/>
          <w:szCs w:val="22"/>
        </w:rPr>
        <w:t xml:space="preserve">Mechanics / tax.</w:t>
      </w:r>
      <w:r>
        <w:rPr>
          <w:rFonts w:ascii="Times New Roman" w:cs="Times New Roman" w:eastAsia="Times New Roman" w:hAnsi="Times New Roman"/>
          <w:b w:val="false"/>
          <w:bCs w:val="false"/>
          <w:i w:val="false"/>
          <w:iCs w:val="false"/>
          <w:sz w:val="22"/>
          <w:szCs w:val="22"/>
        </w:rPr>
        <w:t xml:space="preserve"> Issued as restricted stock under the Company's standard Restricted Stock Purchase Agreement; Adviser advised to consider an </w:t>
      </w:r>
      <w:r>
        <w:rPr>
          <w:rFonts w:ascii="Times New Roman" w:cs="Times New Roman" w:eastAsia="Times New Roman" w:hAnsi="Times New Roman"/>
          <w:b/>
          <w:bCs/>
          <w:i w:val="false"/>
          <w:iCs w:val="false"/>
          <w:sz w:val="22"/>
          <w:szCs w:val="22"/>
        </w:rPr>
        <w:t xml:space="preserve">83(b) election within 30 days</w:t>
      </w:r>
      <w:r>
        <w:rPr>
          <w:rFonts w:ascii="Times New Roman" w:cs="Times New Roman" w:eastAsia="Times New Roman" w:hAnsi="Times New Roman"/>
          <w:b w:val="false"/>
          <w:bCs w:val="false"/>
          <w:i w:val="false"/>
          <w:iCs w:val="false"/>
          <w:sz w:val="22"/>
          <w:szCs w:val="22"/>
        </w:rPr>
        <w:t xml:space="preserve"> of each grant. </w:t>
      </w:r>
      <w:r>
        <w:rPr>
          <w:rFonts w:ascii="Times New Roman" w:cs="Times New Roman" w:eastAsia="Times New Roman" w:hAnsi="Times New Roman"/>
          <w:b/>
          <w:bCs/>
          <w:i w:val="false"/>
          <w:iCs w:val="false"/>
          <w:sz w:val="22"/>
          <w:szCs w:val="22"/>
        </w:rPr>
        <w:t xml:space="preserve">[Counsel: securities exemption (Rule 701/Reg D), FMV/409A, and confirm the role equity's non-contingent structure clears the broker-dealer analysis; the OBA gate supports this.]</w:t>
      </w:r>
    </w:p>
    <w:p>
      <w:pPr>
        <w:spacing w:after="80"/>
      </w:pPr>
      <w:r>
        <w:rPr>
          <w:rFonts w:ascii="Times New Roman" w:cs="Times New Roman" w:eastAsia="Times New Roman" w:hAnsi="Times New Roman"/>
          <w:b w:val="false"/>
          <w:bCs w:val="false"/>
          <w:i w:val="false"/>
          <w:iCs w:val="false"/>
          <w:sz w:val="22"/>
          <w:szCs w:val="22"/>
        </w:rPr>
        <w:t xml:space="preserve">2.6 </w:t>
      </w:r>
      <w:r>
        <w:rPr>
          <w:rFonts w:ascii="Times New Roman" w:cs="Times New Roman" w:eastAsia="Times New Roman" w:hAnsi="Times New Roman"/>
          <w:b/>
          <w:bCs/>
          <w:i w:val="false"/>
          <w:iCs w:val="false"/>
          <w:sz w:val="22"/>
          <w:szCs w:val="22"/>
        </w:rPr>
        <w:t xml:space="preserve">No cash.</w:t>
      </w:r>
      <w:r>
        <w:rPr>
          <w:rFonts w:ascii="Times New Roman" w:cs="Times New Roman" w:eastAsia="Times New Roman" w:hAnsi="Times New Roman"/>
          <w:b w:val="false"/>
          <w:bCs w:val="false"/>
          <w:i w:val="false"/>
          <w:iCs w:val="false"/>
          <w:sz w:val="22"/>
          <w:szCs w:val="22"/>
        </w:rPr>
        <w:t xml:space="preserve"> No cash fees, salary, or bonus are payable.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Governance / Information</w:t>
      </w:r>
    </w:p>
    <w:p>
      <w:pPr>
        <w:spacing w:after="80"/>
      </w:pPr>
      <w:r>
        <w:rPr>
          <w:rFonts w:ascii="Times New Roman" w:cs="Times New Roman" w:eastAsia="Times New Roman" w:hAnsi="Times New Roman"/>
          <w:b w:val="false"/>
          <w:bCs w:val="false"/>
          <w:i w:val="false"/>
          <w:iCs w:val="false"/>
          <w:sz w:val="22"/>
          <w:szCs w:val="22"/>
        </w:rPr>
        <w:t xml:space="preserve">3.1 </w:t>
      </w:r>
      <w:r>
        <w:rPr>
          <w:rFonts w:ascii="Times New Roman" w:cs="Times New Roman" w:eastAsia="Times New Roman" w:hAnsi="Times New Roman"/>
          <w:b/>
          <w:bCs/>
          <w:i w:val="false"/>
          <w:iCs w:val="false"/>
          <w:sz w:val="22"/>
          <w:szCs w:val="22"/>
        </w:rPr>
        <w:t xml:space="preserve">Board observer.</w:t>
      </w:r>
      <w:r>
        <w:rPr>
          <w:rFonts w:ascii="Times New Roman" w:cs="Times New Roman" w:eastAsia="Times New Roman" w:hAnsi="Times New Roman"/>
          <w:b w:val="false"/>
          <w:bCs w:val="false"/>
          <w:i w:val="false"/>
          <w:iCs w:val="false"/>
          <w:sz w:val="22"/>
          <w:szCs w:val="22"/>
        </w:rPr>
        <w:t xml:space="preserve"> Adviser is a </w:t>
      </w:r>
      <w:r>
        <w:rPr>
          <w:rFonts w:ascii="Times New Roman" w:cs="Times New Roman" w:eastAsia="Times New Roman" w:hAnsi="Times New Roman"/>
          <w:b/>
          <w:bCs/>
          <w:i w:val="false"/>
          <w:iCs w:val="false"/>
          <w:sz w:val="22"/>
          <w:szCs w:val="22"/>
        </w:rPr>
        <w:t xml:space="preserve">non-voting Board observer</w:t>
      </w:r>
      <w:r>
        <w:rPr>
          <w:rFonts w:ascii="Times New Roman" w:cs="Times New Roman" w:eastAsia="Times New Roman" w:hAnsi="Times New Roman"/>
          <w:b w:val="false"/>
          <w:bCs w:val="false"/>
          <w:i w:val="false"/>
          <w:iCs w:val="false"/>
          <w:sz w:val="22"/>
          <w:szCs w:val="22"/>
        </w:rPr>
        <w:t xml:space="preserve"> (may be excluded from privileged or conflicted portions), subject to confidentiality.</w:t>
      </w:r>
    </w:p>
    <w:p>
      <w:pPr>
        <w:spacing w:after="80"/>
      </w:pPr>
      <w:r>
        <w:rPr>
          <w:rFonts w:ascii="Times New Roman" w:cs="Times New Roman" w:eastAsia="Times New Roman" w:hAnsi="Times New Roman"/>
          <w:b w:val="false"/>
          <w:bCs w:val="false"/>
          <w:i w:val="false"/>
          <w:iCs w:val="false"/>
          <w:sz w:val="22"/>
          <w:szCs w:val="22"/>
        </w:rPr>
        <w:t xml:space="preserve">3.2 </w:t>
      </w:r>
      <w:r>
        <w:rPr>
          <w:rFonts w:ascii="Times New Roman" w:cs="Times New Roman" w:eastAsia="Times New Roman" w:hAnsi="Times New Roman"/>
          <w:b/>
          <w:bCs/>
          <w:i w:val="false"/>
          <w:iCs w:val="false"/>
          <w:sz w:val="22"/>
          <w:szCs w:val="22"/>
        </w:rPr>
        <w:t xml:space="preserve">Future board seat.</w:t>
      </w:r>
      <w:r>
        <w:rPr>
          <w:rFonts w:ascii="Times New Roman" w:cs="Times New Roman" w:eastAsia="Times New Roman" w:hAnsi="Times New Roman"/>
          <w:b w:val="false"/>
          <w:bCs w:val="false"/>
          <w:i w:val="false"/>
          <w:iCs w:val="false"/>
          <w:sz w:val="22"/>
          <w:szCs w:val="22"/>
        </w:rPr>
        <w:t xml:space="preserve"> Adviser is entitled to a Board seat upon </w:t>
      </w:r>
      <w:r>
        <w:rPr>
          <w:rFonts w:ascii="Times New Roman" w:cs="Times New Roman" w:eastAsia="Times New Roman" w:hAnsi="Times New Roman"/>
          <w:b/>
          <w:bCs/>
          <w:i w:val="false"/>
          <w:iCs w:val="false"/>
          <w:sz w:val="22"/>
          <w:szCs w:val="22"/>
        </w:rPr>
        <w:t xml:space="preserve">[defined trigger — e.g., completion of the full ManCo round / a stated milestone; trigger set and controlled by the Company/Founder]</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[Define — keep Founder-controlled; note Norman controls the Board via Class B regardless.]</w:t>
      </w:r>
    </w:p>
    <w:p>
      <w:pPr>
        <w:spacing w:after="80"/>
      </w:pPr>
      <w:r>
        <w:rPr>
          <w:rFonts w:ascii="Times New Roman" w:cs="Times New Roman" w:eastAsia="Times New Roman" w:hAnsi="Times New Roman"/>
          <w:b w:val="false"/>
          <w:bCs w:val="false"/>
          <w:i w:val="false"/>
          <w:iCs w:val="false"/>
          <w:sz w:val="22"/>
          <w:szCs w:val="22"/>
        </w:rPr>
        <w:t xml:space="preserve">3.3 </w:t>
      </w:r>
      <w:r>
        <w:rPr>
          <w:rFonts w:ascii="Times New Roman" w:cs="Times New Roman" w:eastAsia="Times New Roman" w:hAnsi="Times New Roman"/>
          <w:b/>
          <w:bCs/>
          <w:i w:val="false"/>
          <w:iCs w:val="false"/>
          <w:sz w:val="22"/>
          <w:szCs w:val="22"/>
        </w:rPr>
        <w:t xml:space="preserve">Information rights.</w:t>
      </w:r>
      <w:r>
        <w:rPr>
          <w:rFonts w:ascii="Times New Roman" w:cs="Times New Roman" w:eastAsia="Times New Roman" w:hAnsi="Times New Roman"/>
          <w:b w:val="false"/>
          <w:bCs w:val="false"/>
          <w:i w:val="false"/>
          <w:iCs w:val="false"/>
          <w:sz w:val="22"/>
          <w:szCs w:val="22"/>
        </w:rPr>
        <w:t xml:space="preserve"> Annual (and </w:t>
      </w:r>
      <w:r>
        <w:rPr>
          <w:rFonts w:ascii="Times New Roman" w:cs="Times New Roman" w:eastAsia="Times New Roman" w:hAnsi="Times New Roman"/>
          <w:b/>
          <w:bCs/>
          <w:i w:val="false"/>
          <w:iCs w:val="false"/>
          <w:sz w:val="22"/>
          <w:szCs w:val="22"/>
        </w:rPr>
        <w:t xml:space="preserve">[quarterly?]</w:t>
      </w:r>
      <w:r>
        <w:rPr>
          <w:rFonts w:ascii="Times New Roman" w:cs="Times New Roman" w:eastAsia="Times New Roman" w:hAnsi="Times New Roman"/>
          <w:b w:val="false"/>
          <w:bCs w:val="false"/>
          <w:i w:val="false"/>
          <w:iCs w:val="false"/>
          <w:sz w:val="22"/>
          <w:szCs w:val="22"/>
        </w:rPr>
        <w:t xml:space="preserve">) financial statements, the annual budget, and material financing updates.</w:t>
      </w:r>
    </w:p>
    <w:p>
      <w:pPr>
        <w:spacing w:after="80"/>
      </w:pPr>
      <w:r>
        <w:rPr>
          <w:rFonts w:ascii="Times New Roman" w:cs="Times New Roman" w:eastAsia="Times New Roman" w:hAnsi="Times New Roman"/>
          <w:b w:val="false"/>
          <w:bCs w:val="false"/>
          <w:i w:val="false"/>
          <w:iCs w:val="false"/>
          <w:sz w:val="22"/>
          <w:szCs w:val="22"/>
        </w:rPr>
        <w:t xml:space="preserve">3.4 </w:t>
      </w:r>
      <w:r>
        <w:rPr>
          <w:rFonts w:ascii="Times New Roman" w:cs="Times New Roman" w:eastAsia="Times New Roman" w:hAnsi="Times New Roman"/>
          <w:b/>
          <w:bCs/>
          <w:i w:val="false"/>
          <w:iCs w:val="false"/>
          <w:sz w:val="22"/>
          <w:szCs w:val="22"/>
        </w:rPr>
        <w:t xml:space="preserve">Expense reimbursement.</w:t>
      </w:r>
      <w:r>
        <w:rPr>
          <w:rFonts w:ascii="Times New Roman" w:cs="Times New Roman" w:eastAsia="Times New Roman" w:hAnsi="Times New Roman"/>
          <w:b w:val="false"/>
          <w:bCs w:val="false"/>
          <w:i w:val="false"/>
          <w:iCs w:val="false"/>
          <w:sz w:val="22"/>
          <w:szCs w:val="22"/>
        </w:rPr>
        <w:t xml:space="preserve"> Reasonable, </w:t>
      </w:r>
      <w:r>
        <w:rPr>
          <w:rFonts w:ascii="Times New Roman" w:cs="Times New Roman" w:eastAsia="Times New Roman" w:hAnsi="Times New Roman"/>
          <w:b/>
          <w:bCs/>
          <w:i w:val="false"/>
          <w:iCs w:val="false"/>
          <w:sz w:val="22"/>
          <w:szCs w:val="22"/>
        </w:rPr>
        <w:t xml:space="preserve">pre-approved</w:t>
      </w:r>
      <w:r>
        <w:rPr>
          <w:rFonts w:ascii="Times New Roman" w:cs="Times New Roman" w:eastAsia="Times New Roman" w:hAnsi="Times New Roman"/>
          <w:b w:val="false"/>
          <w:bCs w:val="false"/>
          <w:i w:val="false"/>
          <w:iCs w:val="false"/>
          <w:sz w:val="22"/>
          <w:szCs w:val="22"/>
        </w:rPr>
        <w:t xml:space="preserve"> expenses reimbursed on receipts, per Company expense policy.</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Indemnification / D&amp;O</w:t>
      </w:r>
    </w:p>
    <w:p>
      <w:pPr>
        <w:spacing w:after="80"/>
      </w:pPr>
      <w:r>
        <w:rPr>
          <w:rFonts w:ascii="Times New Roman" w:cs="Times New Roman" w:eastAsia="Times New Roman" w:hAnsi="Times New Roman"/>
          <w:b w:val="false"/>
          <w:bCs w:val="false"/>
          <w:i w:val="false"/>
          <w:iCs w:val="false"/>
          <w:sz w:val="22"/>
          <w:szCs w:val="22"/>
        </w:rPr>
        <w:t xml:space="preserve">The Company will indemnify Adviser to the fullest extent permitted by Delaware law for his authorized services and observer role, and will use commercially reasonable efforts to include Adviser under its </w:t>
      </w:r>
      <w:r>
        <w:rPr>
          <w:rFonts w:ascii="Times New Roman" w:cs="Times New Roman" w:eastAsia="Times New Roman" w:hAnsi="Times New Roman"/>
          <w:b/>
          <w:bCs/>
          <w:i w:val="false"/>
          <w:iCs w:val="false"/>
          <w:sz w:val="22"/>
          <w:szCs w:val="22"/>
        </w:rPr>
        <w:t xml:space="preserve">D&amp;O insurance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[Confirm D&amp;O coverage/timing.]</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Name, Image, and Likeness</w:t>
      </w:r>
    </w:p>
    <w:p>
      <w:pPr>
        <w:spacing w:after="80"/>
      </w:pPr>
      <w:r>
        <w:rPr>
          <w:rFonts w:ascii="Times New Roman" w:cs="Times New Roman" w:eastAsia="Times New Roman" w:hAnsi="Times New Roman"/>
          <w:b w:val="false"/>
          <w:bCs w:val="false"/>
          <w:i w:val="false"/>
          <w:iCs w:val="false"/>
          <w:sz w:val="22"/>
          <w:szCs w:val="22"/>
        </w:rPr>
        <w:t xml:space="preserve">The Company may use Adviser's name, image, and biography </w:t>
      </w:r>
      <w:r>
        <w:rPr>
          <w:rFonts w:ascii="Times New Roman" w:cs="Times New Roman" w:eastAsia="Times New Roman" w:hAnsi="Times New Roman"/>
          <w:b/>
          <w:bCs/>
          <w:i w:val="false"/>
          <w:iCs w:val="false"/>
          <w:sz w:val="22"/>
          <w:szCs w:val="22"/>
        </w:rPr>
        <w:t xml:space="preserve">only with his prior approval</w:t>
      </w:r>
      <w:r>
        <w:rPr>
          <w:rFonts w:ascii="Times New Roman" w:cs="Times New Roman" w:eastAsia="Times New Roman" w:hAnsi="Times New Roman"/>
          <w:b w:val="false"/>
          <w:bCs w:val="false"/>
          <w:i w:val="false"/>
          <w:iCs w:val="false"/>
          <w:sz w:val="22"/>
          <w:szCs w:val="22"/>
        </w:rPr>
        <w:t xml:space="preserve"> (and within OBA limits); approvals for a given use, once given, extend to substantially similar uses. </w:t>
      </w:r>
      <w:r>
        <w:rPr>
          <w:rFonts w:ascii="Times New Roman" w:cs="Times New Roman" w:eastAsia="Times New Roman" w:hAnsi="Times New Roman"/>
          <w:b/>
          <w:bCs/>
          <w:i w:val="false"/>
          <w:iCs w:val="false"/>
          <w:sz w:val="22"/>
          <w:szCs w:val="22"/>
        </w:rPr>
        <w:t xml:space="preserve">[Confirm approval mechanics.]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Confidentiality</w:t>
      </w:r>
    </w:p>
    <w:p>
      <w:pPr>
        <w:spacing w:after="80"/>
      </w:pPr>
      <w:r>
        <w:rPr>
          <w:rFonts w:ascii="Times New Roman" w:cs="Times New Roman" w:eastAsia="Times New Roman" w:hAnsi="Times New Roman"/>
          <w:b w:val="false"/>
          <w:bCs w:val="false"/>
          <w:i w:val="false"/>
          <w:iCs w:val="false"/>
          <w:sz w:val="22"/>
          <w:szCs w:val="22"/>
        </w:rPr>
        <w:t xml:space="preserve">Adviser will hold all non-public Company information in confidence and use it only for the Company's benefit.</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Intellectual Property</w:t>
      </w:r>
    </w:p>
    <w:p>
      <w:pPr>
        <w:spacing w:after="80"/>
      </w:pPr>
      <w:r>
        <w:rPr>
          <w:rFonts w:ascii="Times New Roman" w:cs="Times New Roman" w:eastAsia="Times New Roman" w:hAnsi="Times New Roman"/>
          <w:b w:val="false"/>
          <w:bCs w:val="false"/>
          <w:i w:val="false"/>
          <w:iCs w:val="false"/>
          <w:sz w:val="22"/>
          <w:szCs w:val="22"/>
        </w:rPr>
        <w:t xml:space="preserve">Work product Adviser creates for or delivers to the Company is </w:t>
      </w:r>
      <w:r>
        <w:rPr>
          <w:rFonts w:ascii="Times New Roman" w:cs="Times New Roman" w:eastAsia="Times New Roman" w:hAnsi="Times New Roman"/>
          <w:b/>
          <w:bCs/>
          <w:i w:val="false"/>
          <w:iCs w:val="false"/>
          <w:sz w:val="22"/>
          <w:szCs w:val="22"/>
        </w:rPr>
        <w:t xml:space="preserve">assigned to the Company</w:t>
      </w:r>
      <w:r>
        <w:rPr>
          <w:rFonts w:ascii="Times New Roman" w:cs="Times New Roman" w:eastAsia="Times New Roman" w:hAnsi="Times New Roman"/>
          <w:b w:val="false"/>
          <w:bCs w:val="false"/>
          <w:i w:val="false"/>
          <w:iCs w:val="false"/>
          <w:sz w:val="22"/>
          <w:szCs w:val="22"/>
        </w:rPr>
        <w:t xml:space="preserve">. Adviser's pre-existing and independent business IP (Tabor and otherwise) remains his.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Non-Circumvention / Non-Solicitation</w:t>
      </w:r>
    </w:p>
    <w:p>
      <w:pPr>
        <w:spacing w:after="80"/>
      </w:pPr>
      <w:r>
        <w:rPr>
          <w:rFonts w:ascii="Times New Roman" w:cs="Times New Roman" w:eastAsia="Times New Roman" w:hAnsi="Times New Roman"/>
          <w:b w:val="false"/>
          <w:bCs w:val="false"/>
          <w:i w:val="false"/>
          <w:iCs w:val="false"/>
          <w:sz w:val="22"/>
          <w:szCs w:val="22"/>
        </w:rPr>
        <w:t xml:space="preserve">Consistent with the Company's non-circumvention framework, during the term and for </w:t>
      </w:r>
      <w:r>
        <w:rPr>
          <w:rFonts w:ascii="Times New Roman" w:cs="Times New Roman" w:eastAsia="Times New Roman" w:hAnsi="Times New Roman"/>
          <w:b/>
          <w:bCs/>
          <w:i w:val="false"/>
          <w:iCs w:val="false"/>
          <w:sz w:val="22"/>
          <w:szCs w:val="22"/>
        </w:rPr>
        <w:t xml:space="preserve">[24] months</w:t>
      </w:r>
      <w:r>
        <w:rPr>
          <w:rFonts w:ascii="Times New Roman" w:cs="Times New Roman" w:eastAsia="Times New Roman" w:hAnsi="Times New Roman"/>
          <w:b w:val="false"/>
          <w:bCs w:val="false"/>
          <w:i w:val="false"/>
          <w:iCs w:val="false"/>
          <w:sz w:val="22"/>
          <w:szCs w:val="22"/>
        </w:rPr>
        <w:t xml:space="preserve"> after, Adviser will not circumvent the Company as to schools, celebrities, capital partners, sponsors, or counterparties </w:t>
      </w:r>
      <w:r>
        <w:rPr>
          <w:rFonts w:ascii="Times New Roman" w:cs="Times New Roman" w:eastAsia="Times New Roman" w:hAnsi="Times New Roman"/>
          <w:b/>
          <w:bCs/>
          <w:i w:val="false"/>
          <w:iCs w:val="false"/>
          <w:sz w:val="22"/>
          <w:szCs w:val="22"/>
        </w:rPr>
        <w:t xml:space="preserve">introduced through or in connection with the Company</w:t>
      </w:r>
      <w:r>
        <w:rPr>
          <w:rFonts w:ascii="Times New Roman" w:cs="Times New Roman" w:eastAsia="Times New Roman" w:hAnsi="Times New Roman"/>
          <w:b w:val="false"/>
          <w:bCs w:val="false"/>
          <w:i w:val="false"/>
          <w:iCs w:val="false"/>
          <w:sz w:val="22"/>
          <w:szCs w:val="22"/>
        </w:rPr>
        <w:t xml:space="preserve">, nor solicit Company personnel. </w:t>
      </w:r>
      <w:r>
        <w:rPr>
          <w:rFonts w:ascii="Times New Roman" w:cs="Times New Roman" w:eastAsia="Times New Roman" w:hAnsi="Times New Roman"/>
          <w:b/>
          <w:bCs/>
          <w:i w:val="false"/>
          <w:iCs w:val="false"/>
          <w:sz w:val="22"/>
          <w:szCs w:val="22"/>
        </w:rPr>
        <w:t xml:space="preserve">[Carve out Adviser's pre-existing Tabor relationships and pipeline — confirm scope.]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9. Independent Contractor</w:t>
      </w:r>
    </w:p>
    <w:p>
      <w:pPr>
        <w:spacing w:after="80"/>
      </w:pPr>
      <w:r>
        <w:rPr>
          <w:rFonts w:ascii="Times New Roman" w:cs="Times New Roman" w:eastAsia="Times New Roman" w:hAnsi="Times New Roman"/>
          <w:b w:val="false"/>
          <w:bCs w:val="false"/>
          <w:i w:val="false"/>
          <w:iCs w:val="false"/>
          <w:sz w:val="22"/>
          <w:szCs w:val="22"/>
        </w:rPr>
        <w:t xml:space="preserve">Independent contractor; responsible for his own taxes; no employee benefits; no partnership/employment relationship created.</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10. Term and Termination</w:t>
      </w:r>
    </w:p>
    <w:p>
      <w:pPr>
        <w:spacing w:after="80"/>
      </w:pPr>
      <w:r>
        <w:rPr>
          <w:rFonts w:ascii="Times New Roman" w:cs="Times New Roman" w:eastAsia="Times New Roman" w:hAnsi="Times New Roman"/>
          <w:b w:val="false"/>
          <w:bCs w:val="false"/>
          <w:i w:val="false"/>
          <w:iCs w:val="false"/>
          <w:sz w:val="22"/>
          <w:szCs w:val="22"/>
        </w:rPr>
        <w:t xml:space="preserve">10.1 </w:t>
      </w:r>
      <w:r>
        <w:rPr>
          <w:rFonts w:ascii="Times New Roman" w:cs="Times New Roman" w:eastAsia="Times New Roman" w:hAnsi="Times New Roman"/>
          <w:b/>
          <w:bCs/>
          <w:i w:val="false"/>
          <w:iCs w:val="false"/>
          <w:sz w:val="22"/>
          <w:szCs w:val="22"/>
        </w:rPr>
        <w:t xml:space="preserve">Term.</w:t>
      </w:r>
      <w:r>
        <w:rPr>
          <w:rFonts w:ascii="Times New Roman" w:cs="Times New Roman" w:eastAsia="Times New Roman" w:hAnsi="Times New Roman"/>
          <w:b w:val="false"/>
          <w:bCs w:val="false"/>
          <w:i w:val="false"/>
          <w:iCs w:val="false"/>
          <w:sz w:val="22"/>
          <w:szCs w:val="22"/>
        </w:rPr>
        <w:t xml:space="preserve"> From the Effective Date until terminated.</w:t>
      </w:r>
    </w:p>
    <w:p>
      <w:pPr>
        <w:spacing w:after="80"/>
      </w:pPr>
      <w:r>
        <w:rPr>
          <w:rFonts w:ascii="Times New Roman" w:cs="Times New Roman" w:eastAsia="Times New Roman" w:hAnsi="Times New Roman"/>
          <w:b w:val="false"/>
          <w:bCs w:val="false"/>
          <w:i w:val="false"/>
          <w:iCs w:val="false"/>
          <w:sz w:val="22"/>
          <w:szCs w:val="22"/>
        </w:rPr>
        <w:t xml:space="preserve">10.2 </w:t>
      </w:r>
      <w:r>
        <w:rPr>
          <w:rFonts w:ascii="Times New Roman" w:cs="Times New Roman" w:eastAsia="Times New Roman" w:hAnsi="Times New Roman"/>
          <w:b/>
          <w:bCs/>
          <w:i w:val="false"/>
          <w:iCs w:val="false"/>
          <w:sz w:val="22"/>
          <w:szCs w:val="22"/>
        </w:rPr>
        <w:t xml:space="preserve">Termination.</w:t>
      </w:r>
      <w:r>
        <w:rPr>
          <w:rFonts w:ascii="Times New Roman" w:cs="Times New Roman" w:eastAsia="Times New Roman" w:hAnsi="Times New Roman"/>
          <w:b w:val="false"/>
          <w:bCs w:val="false"/>
          <w:i w:val="false"/>
          <w:iCs w:val="false"/>
          <w:sz w:val="22"/>
          <w:szCs w:val="22"/>
        </w:rPr>
        <w:t xml:space="preserve"> Either party may terminate on </w:t>
      </w:r>
      <w:r>
        <w:rPr>
          <w:rFonts w:ascii="Times New Roman" w:cs="Times New Roman" w:eastAsia="Times New Roman" w:hAnsi="Times New Roman"/>
          <w:b/>
          <w:bCs/>
          <w:i w:val="false"/>
          <w:iCs w:val="false"/>
          <w:sz w:val="22"/>
          <w:szCs w:val="22"/>
        </w:rPr>
        <w:t xml:space="preserve">[30] days'</w:t>
      </w:r>
      <w:r>
        <w:rPr>
          <w:rFonts w:ascii="Times New Roman" w:cs="Times New Roman" w:eastAsia="Times New Roman" w:hAnsi="Times New Roman"/>
          <w:b w:val="false"/>
          <w:bCs w:val="false"/>
          <w:i w:val="false"/>
          <w:iCs w:val="false"/>
          <w:sz w:val="22"/>
          <w:szCs w:val="22"/>
        </w:rPr>
        <w:t xml:space="preserve"> notice (or immediately for material breach or loss of OBA Approval). On termination, </w:t>
      </w:r>
      <w:r>
        <w:rPr>
          <w:rFonts w:ascii="Times New Roman" w:cs="Times New Roman" w:eastAsia="Times New Roman" w:hAnsi="Times New Roman"/>
          <w:b/>
          <w:bCs/>
          <w:i w:val="false"/>
          <w:iCs w:val="false"/>
          <w:sz w:val="22"/>
          <w:szCs w:val="22"/>
        </w:rPr>
        <w:t xml:space="preserve">unvested</w:t>
      </w:r>
      <w:r>
        <w:rPr>
          <w:rFonts w:ascii="Times New Roman" w:cs="Times New Roman" w:eastAsia="Times New Roman" w:hAnsi="Times New Roman"/>
          <w:b w:val="false"/>
          <w:bCs w:val="false"/>
          <w:i w:val="false"/>
          <w:iCs w:val="false"/>
          <w:sz w:val="22"/>
          <w:szCs w:val="22"/>
        </w:rPr>
        <w:t xml:space="preserve"> shares (including unearned milestone equity) are forfeited / subject to repurchase at the lower of cost or FMV; </w:t>
      </w:r>
      <w:r>
        <w:rPr>
          <w:rFonts w:ascii="Times New Roman" w:cs="Times New Roman" w:eastAsia="Times New Roman" w:hAnsi="Times New Roman"/>
          <w:b/>
          <w:bCs/>
          <w:i w:val="false"/>
          <w:iCs w:val="false"/>
          <w:sz w:val="22"/>
          <w:szCs w:val="22"/>
        </w:rPr>
        <w:t xml:space="preserve">vested</w:t>
      </w:r>
      <w:r>
        <w:rPr>
          <w:rFonts w:ascii="Times New Roman" w:cs="Times New Roman" w:eastAsia="Times New Roman" w:hAnsi="Times New Roman"/>
          <w:b w:val="false"/>
          <w:bCs w:val="false"/>
          <w:i w:val="false"/>
          <w:iCs w:val="false"/>
          <w:sz w:val="22"/>
          <w:szCs w:val="22"/>
        </w:rPr>
        <w:t xml:space="preserve"> shares are subject to the Stockholders' Agreement (transfer restrictions, ROFR/co-sale). Sections 6–8 survive.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11. General</w:t>
      </w:r>
    </w:p>
    <w:p>
      <w:pPr>
        <w:spacing w:after="80"/>
      </w:pPr>
      <w:r>
        <w:rPr>
          <w:rFonts w:ascii="Times New Roman" w:cs="Times New Roman" w:eastAsia="Times New Roman" w:hAnsi="Times New Roman"/>
          <w:b w:val="false"/>
          <w:bCs w:val="false"/>
          <w:i w:val="false"/>
          <w:iCs w:val="false"/>
          <w:sz w:val="22"/>
          <w:szCs w:val="22"/>
        </w:rPr>
        <w:t xml:space="preserve">Delaware governing law </w:t>
      </w:r>
      <w:r>
        <w:rPr>
          <w:rFonts w:ascii="Times New Roman" w:cs="Times New Roman" w:eastAsia="Times New Roman" w:hAnsi="Times New Roman"/>
          <w:b/>
          <w:bCs/>
          <w:i w:val="false"/>
          <w:iCs w:val="false"/>
          <w:sz w:val="22"/>
          <w:szCs w:val="22"/>
        </w:rPr>
        <w:t xml:space="preserve">[venue/arbitration — confirm]</w:t>
      </w:r>
      <w:r>
        <w:rPr>
          <w:rFonts w:ascii="Times New Roman" w:cs="Times New Roman" w:eastAsia="Times New Roman" w:hAnsi="Times New Roman"/>
          <w:b w:val="false"/>
          <w:bCs w:val="false"/>
          <w:i w:val="false"/>
          <w:iCs w:val="false"/>
          <w:sz w:val="22"/>
          <w:szCs w:val="22"/>
        </w:rPr>
        <w:t xml:space="preserve">; entire agreement (with the Restricted Stock Purchase Agreement and Stockholders' Agreement); amendments in writing; Adviser may not assign; counterparts and electronic signature.</w:t>
      </w:r>
    </w:p>
    <w:p>
      <w:pPr>
        <w:spacing w:after="60"/>
      </w:pPr>
      <w:r>
        <w:t xml:space="preserve"/>
      </w:r>
    </w:p>
    <w:p>
      <w:pPr>
        <w:pBdr>
          <w:bottom w:val="single" w:color="999999" w:sz="6" w:space="1"/>
        </w:pBdr>
        <w:spacing w:after="80"/>
      </w:pPr>
      <w:r>
        <w:t xml:space="preserve"/>
      </w:r>
    </w:p>
    <w:p>
      <w:pPr>
        <w:spacing w:after="80"/>
      </w:pP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Cinderella Corp.</w:t>
      </w:r>
    </w:p>
    <w:p>
      <w:pPr>
        <w:spacing w:after="80"/>
      </w:pPr>
      <w:r>
        <w:rPr>
          <w:rFonts w:ascii="Times New Roman" w:cs="Times New Roman" w:eastAsia="Times New Roman" w:hAnsi="Times New Roman"/>
          <w:b w:val="false"/>
          <w:bCs w:val="false"/>
          <w:i w:val="false"/>
          <w:iCs w:val="false"/>
          <w:sz w:val="22"/>
          <w:szCs w:val="22"/>
        </w:rPr>
        <w:t xml:space="preserve">By: _________________________</w:t>
      </w:r>
      <w:r>
        <w:rPr>
          <w:rFonts w:ascii="Times New Roman" w:cs="Times New Roman" w:eastAsia="Times New Roman" w:hAnsi="Times New Roman"/>
          <w:b w:val="false"/>
          <w:bCs w:val="false"/>
          <w:i/>
          <w:iCs/>
          <w:sz w:val="22"/>
          <w:szCs w:val="22"/>
        </w:rPr>
        <w:t xml:space="preserve">  Name: Norman C. de Silva  Title: [CEO / President]  Date: 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ADVISER:</w:t>
      </w:r>
      <w:r>
        <w:rPr>
          <w:rFonts w:ascii="Times New Roman" w:cs="Times New Roman" w:eastAsia="Times New Roman" w:hAnsi="Times New Roman"/>
          <w:b w:val="false"/>
          <w:bCs w:val="false"/>
          <w:i w:val="false"/>
          <w:iCs w:val="false"/>
          <w:sz w:val="22"/>
          <w:szCs w:val="22"/>
        </w:rPr>
        <w:t xml:space="preserve"> _________________________</w:t>
      </w:r>
      <w:r>
        <w:rPr>
          <w:rFonts w:ascii="Times New Roman" w:cs="Times New Roman" w:eastAsia="Times New Roman" w:hAnsi="Times New Roman"/>
          <w:b w:val="false"/>
          <w:bCs w:val="false"/>
          <w:i/>
          <w:iCs/>
          <w:sz w:val="22"/>
          <w:szCs w:val="22"/>
        </w:rPr>
        <w:t xml:space="preserve">  Ankur Jain  Date: ______</w:t>
      </w:r>
    </w:p>
    <w:p>
      <w:pPr>
        <w:spacing w:after="60"/>
      </w:pPr>
      <w:r>
        <w:t xml:space="preserve"/>
      </w:r>
    </w:p>
    <w:p>
      <w:pPr>
        <w:pBdr>
          <w:bottom w:val="single" w:color="999999" w:sz="6" w:space="1"/>
        </w:pBdr>
        <w:spacing w:after="8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For counsel / to confirm before use</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OBA Approval from Tabor</w:t>
      </w:r>
      <w:r>
        <w:rPr>
          <w:rFonts w:ascii="Times New Roman" w:cs="Times New Roman" w:eastAsia="Times New Roman" w:hAnsi="Times New Roman"/>
          <w:b w:val="false"/>
          <w:bCs w:val="false"/>
          <w:i w:val="false"/>
          <w:iCs w:val="false"/>
          <w:sz w:val="22"/>
          <w:szCs w:val="22"/>
        </w:rPr>
        <w:t xml:space="preserve"> obtained and scoped before any activity — the gating item.</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Netflix milestone breakdown</w:t>
      </w:r>
      <w:r>
        <w:rPr>
          <w:rFonts w:ascii="Times New Roman" w:cs="Times New Roman" w:eastAsia="Times New Roman" w:hAnsi="Times New Roman"/>
          <w:b w:val="false"/>
          <w:bCs w:val="false"/>
          <w:i w:val="false"/>
          <w:iCs w:val="false"/>
          <w:sz w:val="22"/>
          <w:szCs w:val="22"/>
        </w:rPr>
        <w:t xml:space="preserve"> (0.5 / 0.5 / 1.0 = 2%) and Netflix-only vs. any-streamer.</w:t>
      </w:r>
    </w:p>
    <w:p>
      <w:pPr>
        <w:spacing w:after="40"/>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Anti-dilution "Seed Round only"</w:t>
      </w:r>
      <w:r>
        <w:rPr>
          <w:rFonts w:ascii="Times New Roman" w:cs="Times New Roman" w:eastAsia="Times New Roman" w:hAnsi="Times New Roman"/>
          <w:b w:val="false"/>
          <w:bCs w:val="false"/>
          <w:i w:val="false"/>
          <w:iCs w:val="false"/>
          <w:sz w:val="22"/>
          <w:szCs w:val="22"/>
        </w:rPr>
        <w:t xml:space="preserve"> language and the fully-diluted measurement point.</w:t>
      </w:r>
    </w:p>
    <w:p>
      <w:pPr>
        <w:spacing w:after="40"/>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rPr>
        <w:t xml:space="preserve">Securities / broker-dealer</w:t>
      </w:r>
      <w:r>
        <w:rPr>
          <w:rFonts w:ascii="Times New Roman" w:cs="Times New Roman" w:eastAsia="Times New Roman" w:hAnsi="Times New Roman"/>
          <w:b w:val="false"/>
          <w:bCs w:val="false"/>
          <w:i w:val="false"/>
          <w:iCs w:val="false"/>
          <w:sz w:val="22"/>
          <w:szCs w:val="22"/>
        </w:rPr>
        <w:t xml:space="preserve">: confirm the non-contingent, role-based structure + OBA gate clears the analysis; Rule 701/Reg D exemption; 83(b); FMV/409A.</w:t>
      </w:r>
    </w:p>
    <w:p>
      <w:pPr>
        <w:spacing w:after="40"/>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rPr>
        <w:t xml:space="preserve">Financial-materials approval</w:t>
      </w:r>
      <w:r>
        <w:rPr>
          <w:rFonts w:ascii="Times New Roman" w:cs="Times New Roman" w:eastAsia="Times New Roman" w:hAnsi="Times New Roman"/>
          <w:b w:val="false"/>
          <w:bCs w:val="false"/>
          <w:i w:val="false"/>
          <w:iCs w:val="false"/>
          <w:sz w:val="22"/>
          <w:szCs w:val="22"/>
        </w:rPr>
        <w:t xml:space="preserve"> scope (financial only) and the </w:t>
      </w:r>
      <w:r>
        <w:rPr>
          <w:rFonts w:ascii="Times New Roman" w:cs="Times New Roman" w:eastAsia="Times New Roman" w:hAnsi="Times New Roman"/>
          <w:b/>
          <w:bCs/>
          <w:i w:val="false"/>
          <w:iCs w:val="false"/>
          <w:sz w:val="22"/>
          <w:szCs w:val="22"/>
        </w:rPr>
        <w:t xml:space="preserve">board-seat trigger</w:t>
      </w:r>
      <w:r>
        <w:rPr>
          <w:rFonts w:ascii="Times New Roman" w:cs="Times New Roman" w:eastAsia="Times New Roman" w:hAnsi="Times New Roman"/>
          <w:b w:val="false"/>
          <w:bCs w:val="false"/>
          <w:i w:val="false"/>
          <w:iCs w:val="false"/>
          <w:sz w:val="22"/>
          <w:szCs w:val="22"/>
        </w:rPr>
        <w:t xml:space="preserve"> (keep Founder-controlled).</w:t>
      </w:r>
    </w:p>
    <w:p>
      <w:pPr>
        <w:spacing w:after="40"/>
      </w:pPr>
      <w:r>
        <w:rPr>
          <w:rFonts w:ascii="Times New Roman" w:cs="Times New Roman" w:eastAsia="Times New Roman" w:hAnsi="Times New Roman"/>
          <w:b w:val="false"/>
          <w:bCs w:val="false"/>
          <w:i w:val="false"/>
          <w:iCs w:val="false"/>
          <w:sz w:val="22"/>
          <w:szCs w:val="22"/>
        </w:rPr>
        <w:t xml:space="preserve">6. Non-circ carve-out for Tabor; D&amp;O coverage.</w:t>
      </w:r>
    </w:p>
    <w:p>
      <w:pPr>
        <w:spacing w:after="40"/>
      </w:pPr>
      <w:r>
        <w:rPr>
          <w:rFonts w:ascii="Times New Roman" w:cs="Times New Roman" w:eastAsia="Times New Roman" w:hAnsi="Times New Roman"/>
          <w:b w:val="false"/>
          <w:bCs w:val="false"/>
          <w:i w:val="false"/>
          <w:iCs w:val="false"/>
          <w:sz w:val="22"/>
          <w:szCs w:val="22"/>
        </w:rPr>
        <w:t xml:space="preserve">7. Reconcile 6% (post-Seed) with the cap table alongside Greg (4%) and Sunjay (TBD).</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2026-08-25T00:00:45.081Z</dcterms:created>
  <dcterms:modified xsi:type="dcterms:W3CDTF">2026-08-25T00:00:45.100Z</dcterms:modified>
</cp:coreProperties>
</file>

<file path=docProps/custom.xml><?xml version="1.0" encoding="utf-8"?>
<Properties xmlns="http://schemas.openxmlformats.org/officeDocument/2006/custom-properties" xmlns:vt="http://schemas.openxmlformats.org/officeDocument/2006/docPropsVTypes"/>
</file>