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DRAFT — FOR DISCUSSION ONLY — NOT LEGAL ADVICE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Working draft, 2026-08-15. Review with Loeb &amp; Loeb (Brian Socolow) and Sunjay before any use. Not an offer to sell securities. Bracketed items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[LIKE THIS]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 need confirmation.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Entity corrected to a Delaware C-corporation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 per the Amended &amp; Restated Certificate of Incorporation._</w:t>
      </w:r>
    </w:p>
    <w:p>
      <w:pPr>
        <w:spacing w:after="60"/>
      </w:pPr>
      <w:r>
        <w:t xml:space="preserve"/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Cinderella Corp. — Seed Round Summary of Principal Terms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Issuer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Cinderella Corp.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a Delaware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corporation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(the "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Company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"). Charter: A&amp;R Certificate of Incorporation (replacing the Cert. filed April 13, 2026).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Instrument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Class A Common Stock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(1 vote/share)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[plus a Revenue-Share Right; see economics + note].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Priced equity round.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Total raise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$1,500,000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initial close.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[Plan contemplates an additional $1,500,000 callable on same terms — confirm second-tranche valuation/dilution. Consider a smaller first close with the rest callable, to retain equity if undeployed — see the tranching discussion.]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Valuation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$10,000,000 post-money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($8,500,000 pre-money).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Price / allocation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Priced so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$100,000 = 1.0% of the Company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15% in aggregate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to investors, as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[_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sz w:val="22"/>
                <w:szCs w:val="22"/>
              </w:rPr>
              <w:t xml:space="preserve">] shares of Class A Common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2"/>
                <w:szCs w:val="22"/>
              </w:rPr>
              <w:t xml:space="preserve"> at </w:t>
            </w:r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sz w:val="22"/>
                <w:szCs w:val="22"/>
              </w:rPr>
              <w:t xml:space="preserve">$[__]/share [compute from the authorized 15,000,000 Class A shares]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2"/>
                <w:szCs w:val="22"/>
              </w:rPr>
              <w:t xml:space="preserve">. Target 15 investors at $100,000 each.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Closing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Single close targeted September 15, 2026.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Capital deployed from close through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December 2027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; balance held in reserve.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Capital structure (control)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Two classes of common: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Class A Common — 1 vote/share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Class B Common — 10 votes/share.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Norman C. de Silva is the sole holder of Class B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(super-voting control).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All other holders — Ankur, Sunjay, Greg, and ALL investors — hold Class A Common (1 vote).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Class B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auto-converts to Class 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on any transfer other than a Permitted Transfer (Norman's estate/holding vehicle), so no one else can ever hold super-voting stock.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Board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[3] directors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elected by stockholder vote — which Norman controls via the Class B super-vote. Investors receive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no board seat.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[Board size/composition to be set in Bylaws.]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Investor economics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Per the one-pager (additive):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(1) 15% Class A Common equity (permanent, pro-rata dividends/liquidation);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plus (2) a Revenue-Share Right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50% of Company gross cash revenue collected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until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1.0×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($1.5M), then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10%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until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2.0×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($3.0M), then it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terminates.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[STRUCTURE — see note: common + separate Revenue-Share Agreement, OR a Series Seed Preferred.]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Investor MOIC ≈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13.47×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(11.47× equity + 2.0× revenue share).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Voting / control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Investors' Class A votes 1/share, together with all common as a single class. Norman's Class B (10×) controls all stockholder votes and the board. Investors have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no control rights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beyond limited protective provisions (below).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Information rights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Annual financial statements + tax forms (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[K-1 for LLC → 1099-DIV/K for the corp as applicable]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); at least annual written updates.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Investor capital-return right (Ankur)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Ankur Jain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as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Investor Representative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may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on or after January 1, 2027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— cause the Company to return investors'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undeployed capital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(from available reserve, pro rata) if in his good-faith judgment the Company has not made sufficient progress to responsibly keep deploying it.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[Return of capital only; does not, by itself, reduce shares — see the return-of-capital vs. redemption discussion.]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Transfer restrictions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Restricted stock; Company right of first refusal + co-sale; no transfer without Board consent.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Drag / Tag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Drag-along: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on a Board-approved sale, all stockholders participate on the same per-share terms.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Tag-along: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investors may participate pro rata.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[Confirm.]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Protective provisions (investors, limited)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Consent of a majority of Class A investors to: (a) amend the charter/agreements in a way that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disproportionately, adversely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affects them; or (b) issue securities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senior to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their Revenue-Share Right.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2"/>
                <w:szCs w:val="22"/>
              </w:rPr>
              <w:t xml:space="preserve">All other decisions rest with the Board/Norman._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Founder stock (the other 85%)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Held by Norman (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Class B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super-voting) and Ankur/Sunjay/Greg (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Class A Common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ordinary).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[Confirm each founder's share count and vesting; note Ankur/Sunjay/Greg currently hold nothing — issuance to be documented.]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Securities compliance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Reg D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 506(b)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, accredited investors only; Form D + blue-sky; restricted-stock legends.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Governing docs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A&amp;R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Certificate of Incorporation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(control terms),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Bylaws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(board/officers),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Stockholders' Agreement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(transfer/drag/tag/info/Ankur right/protective provisions),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Stock Purchase (Subscription) Agreement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+ Accredited Investor Questionnaire,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[Revenue-Share Agreement OR Series Seed Preferred terms]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.</w:t>
            </w:r>
          </w:p>
        </w:tc>
      </w:tr>
    </w:tbl>
    <w:p>
      <w:pPr>
        <w:spacing w:after="80"/>
      </w:pPr>
    </w:p>
    <w:p>
      <w:pPr>
        <w:spacing w:after="60"/>
      </w:pPr>
      <w:r>
        <w:t xml:space="preserve"/>
      </w:r>
    </w:p>
    <w:p>
      <w:pPr>
        <w:pBdr>
          <w:bottom w:val="single" w:color="999999" w:sz="6" w:space="1"/>
        </w:pBdr>
        <w:spacing w:after="8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spacing w:after="100" w:before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⚠️ Open terms that actually matter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Investor economics don't fit the current charter — the #1 item.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Your charter authorizes only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Class A / Class B *Common*, "identical except voting," with equal dividends/distributions.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The promised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revenue-share preference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is a *preferred* right common stock can't carry. Fix with Loeb, choose one: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(a) Common + separate Revenue-Share Agreement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(investors get 15% Class A Common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plus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a contractual 50%/10%-to-2× revenue-share right). Clean cap table.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Recommended.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(b) Authorize a Series Seed Preferred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in the charter carrying the revenue-share preference. Requires another charter amendment.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Also: 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% of *gross revenue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* is an unusual equity feature (revenue-based-financing / royalty flavor); Loeb should confirm structure and tax.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Control isolation — RESOLVED by your charter.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Only Norman holds Class B (10×); everyone else (founders + investors) holds Class A (1×); Class B auto-converts on transfer. Just issue accordingly and record it in the stock ledger and Stock Purchase Agreement.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Tranching (capital efficiency → retained equity).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Returning undeployed cash alone (the Ankur right) does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not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claw back equity. To give up less equity when you deploy less, size 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smaller first close with the remainder callable at the same valuation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issue shares only as capital is called.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[Decide first-close size.]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Other flags: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exact per-share price/share counts; founder share counts + vesting; the additional-$1.5M-call mechanics; drag/tag; venue/arbitration; the corp's tax reporting (1099s, not K-1s).</w:t>
      </w:r>
    </w:p>
    <w:p>
      <w:pPr>
        <w:spacing w:after="60"/>
      </w:pPr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333333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2026-08-24T20:49:57.821Z</dcterms:created>
  <dcterms:modified xsi:type="dcterms:W3CDTF">2026-08-24T20:49:57.841Z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