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CONFIDENTIAL</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REVENUE-SHARE AGREEMENT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Revenue-Share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the date set forth on the signature page, by and between </w:t>
      </w:r>
      <w:r>
        <w:rPr>
          <w:rFonts w:ascii="Times New Roman" w:cs="Times New Roman" w:eastAsia="Times New Roman" w:hAnsi="Times New Roman"/>
          <w:b/>
          <w:bCs/>
          <w:i w:val="false"/>
          <w:iCs w:val="false"/>
          <w:sz w:val="22"/>
          <w:szCs w:val="22"/>
        </w:rPr>
        <w:t xml:space="preserve">Cinderella Corp.</w:t>
      </w:r>
      <w:r>
        <w:rPr>
          <w:rFonts w:ascii="Times New Roman" w:cs="Times New Roman" w:eastAsia="Times New Roman" w:hAnsi="Times New Roman"/>
          <w:b w:val="false"/>
          <w:bCs w:val="false"/>
          <w:i w:val="false"/>
          <w:iCs w:val="false"/>
          <w:sz w:val="22"/>
          <w:szCs w:val="22"/>
        </w:rPr>
        <w:t xml:space="preserve">, a Delaware corporation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and the undersigned holder (the "</w:t>
      </w:r>
      <w:r>
        <w:rPr>
          <w:rFonts w:ascii="Times New Roman" w:cs="Times New Roman" w:eastAsia="Times New Roman" w:hAnsi="Times New Roman"/>
          <w:b/>
          <w:bCs/>
          <w:i w:val="false"/>
          <w:iCs w:val="false"/>
          <w:sz w:val="22"/>
          <w:szCs w:val="22"/>
        </w:rPr>
        <w:t xml:space="preserve">Holder</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RECITALS.</w:t>
      </w:r>
      <w:r>
        <w:rPr>
          <w:rFonts w:ascii="Times New Roman" w:cs="Times New Roman" w:eastAsia="Times New Roman" w:hAnsi="Times New Roman"/>
          <w:b w:val="false"/>
          <w:bCs w:val="false"/>
          <w:i w:val="false"/>
          <w:iCs w:val="false"/>
          <w:sz w:val="22"/>
          <w:szCs w:val="22"/>
        </w:rPr>
        <w:t xml:space="preserve"> Concurrently with this Agreement, the Holder is purchasing shares of the Company's Class A Common Stock pursuant to a Stock Purchase Agreement (the "</w:t>
      </w:r>
      <w:r>
        <w:rPr>
          <w:rFonts w:ascii="Times New Roman" w:cs="Times New Roman" w:eastAsia="Times New Roman" w:hAnsi="Times New Roman"/>
          <w:b/>
          <w:bCs/>
          <w:i w:val="false"/>
          <w:iCs w:val="false"/>
          <w:sz w:val="22"/>
          <w:szCs w:val="22"/>
        </w:rPr>
        <w:t xml:space="preserve">Purchase Agreement</w:t>
      </w:r>
      <w:r>
        <w:rPr>
          <w:rFonts w:ascii="Times New Roman" w:cs="Times New Roman" w:eastAsia="Times New Roman" w:hAnsi="Times New Roman"/>
          <w:b w:val="false"/>
          <w:bCs w:val="false"/>
          <w:i w:val="false"/>
          <w:iCs w:val="false"/>
          <w:sz w:val="22"/>
          <w:szCs w:val="22"/>
        </w:rPr>
        <w:t xml:space="preserve">"). The Revenue-Share Right granted under this Agreement is granted in addition to, and independent of, the shares purchased under the Purchase Agreement, and is issued as part of the same private placement.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DEFINITIONS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"Change of Control"</w:t>
      </w:r>
      <w:r>
        <w:rPr>
          <w:rFonts w:ascii="Times New Roman" w:cs="Times New Roman" w:eastAsia="Times New Roman" w:hAnsi="Times New Roman"/>
          <w:b w:val="false"/>
          <w:bCs w:val="false"/>
          <w:i w:val="false"/>
          <w:iCs w:val="false"/>
          <w:sz w:val="22"/>
          <w:szCs w:val="22"/>
        </w:rPr>
        <w:t xml:space="preserve"> means (a) any sale, merger, consolidation, or reorganization in which the holders of the Company's outstanding voting securities immediately prior thereto hold less than a majority of the voting power of the surviving entity immediately thereafter, or (b) any sale, license, or other disposition of all or substantially all of the Company's assets or of the *Making Cinderella* franchise intellectual property.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"Gross Cash Revenue"</w:t>
      </w:r>
      <w:r>
        <w:rPr>
          <w:rFonts w:ascii="Times New Roman" w:cs="Times New Roman" w:eastAsia="Times New Roman" w:hAnsi="Times New Roman"/>
          <w:b w:val="false"/>
          <w:bCs w:val="false"/>
          <w:i w:val="false"/>
          <w:iCs w:val="false"/>
          <w:sz w:val="22"/>
          <w:szCs w:val="22"/>
        </w:rPr>
        <w:t xml:space="preserve"> means all cash actually received by the Company from its business operations during a Payment Period, determined on a cash basis, including:</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distributions and dividends received by the Company from any school-level special purpose vehicle ("</w:t>
      </w:r>
      <w:r>
        <w:rPr>
          <w:rFonts w:ascii="Times New Roman" w:cs="Times New Roman" w:eastAsia="Times New Roman" w:hAnsi="Times New Roman"/>
          <w:b/>
          <w:bCs/>
          <w:i w:val="false"/>
          <w:iCs w:val="false"/>
          <w:sz w:val="22"/>
          <w:szCs w:val="22"/>
        </w:rPr>
        <w:t xml:space="preserve">SPV</w:t>
      </w:r>
      <w:r>
        <w:rPr>
          <w:rFonts w:ascii="Times New Roman" w:cs="Times New Roman" w:eastAsia="Times New Roman" w:hAnsi="Times New Roman"/>
          <w:b w:val="false"/>
          <w:bCs w:val="false"/>
          <w:i w:val="false"/>
          <w:iCs w:val="false"/>
          <w:sz w:val="22"/>
          <w:szCs w:val="22"/>
        </w:rPr>
        <w:t xml:space="preserve">") or other subsidiary or portfolio entity;</w:t>
      </w:r>
    </w:p>
    <w:p>
      <w:pPr>
        <w:spacing w:after="80"/>
      </w:pPr>
      <w:r>
        <w:rPr>
          <w:rFonts w:ascii="Times New Roman" w:cs="Times New Roman" w:eastAsia="Times New Roman" w:hAnsi="Times New Roman"/>
          <w:b w:val="false"/>
          <w:bCs w:val="false"/>
          <w:i w:val="false"/>
          <w:iCs w:val="false"/>
          <w:sz w:val="22"/>
          <w:szCs w:val="22"/>
        </w:rPr>
        <w:t xml:space="preserve">  (b) management fees, franchise fees, and administrative or service fees received by the Company;</w:t>
      </w:r>
    </w:p>
    <w:p>
      <w:pPr>
        <w:spacing w:after="80"/>
      </w:pPr>
      <w:r>
        <w:rPr>
          <w:rFonts w:ascii="Times New Roman" w:cs="Times New Roman" w:eastAsia="Times New Roman" w:hAnsi="Times New Roman"/>
          <w:b w:val="false"/>
          <w:bCs w:val="false"/>
          <w:i w:val="false"/>
          <w:iCs w:val="false"/>
          <w:sz w:val="22"/>
          <w:szCs w:val="22"/>
        </w:rPr>
        <w:t xml:space="preserve">  (c) sponsorship, marketing, and brand-partnership revenue received by the Company;</w:t>
      </w:r>
    </w:p>
    <w:p>
      <w:pPr>
        <w:spacing w:after="80"/>
      </w:pPr>
      <w:r>
        <w:rPr>
          <w:rFonts w:ascii="Times New Roman" w:cs="Times New Roman" w:eastAsia="Times New Roman" w:hAnsi="Times New Roman"/>
          <w:b w:val="false"/>
          <w:bCs w:val="false"/>
          <w:i w:val="false"/>
          <w:iCs w:val="false"/>
          <w:sz w:val="22"/>
          <w:szCs w:val="22"/>
        </w:rPr>
        <w:t xml:space="preserve">  (d) content, media, documentary, live-event, and distribution license fees received by the Company;</w:t>
      </w:r>
    </w:p>
    <w:p>
      <w:pPr>
        <w:spacing w:after="80"/>
      </w:pPr>
      <w:r>
        <w:rPr>
          <w:rFonts w:ascii="Times New Roman" w:cs="Times New Roman" w:eastAsia="Times New Roman" w:hAnsi="Times New Roman"/>
          <w:b w:val="false"/>
          <w:bCs w:val="false"/>
          <w:i w:val="false"/>
          <w:iCs w:val="false"/>
          <w:sz w:val="22"/>
          <w:szCs w:val="22"/>
        </w:rPr>
        <w:t xml:space="preserve">  (e) format-licensing, merchandising, and other intellectual-property royalties received by the Company; and</w:t>
      </w:r>
    </w:p>
    <w:p>
      <w:pPr>
        <w:spacing w:after="80"/>
      </w:pPr>
      <w:r>
        <w:rPr>
          <w:rFonts w:ascii="Times New Roman" w:cs="Times New Roman" w:eastAsia="Times New Roman" w:hAnsi="Times New Roman"/>
          <w:b w:val="false"/>
          <w:bCs w:val="false"/>
          <w:i w:val="false"/>
          <w:iCs w:val="false"/>
          <w:sz w:val="22"/>
          <w:szCs w:val="22"/>
        </w:rPr>
        <w:t xml:space="preserve">  (f) all other operating receipts of the Company not expressly excluded below.</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Gross Cash Revenue expressly EXCLUDES: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(i) proceeds of any equity or debt financing, including the Seed Round, any additional capital call, and any loan, note, or credit facility;</w:t>
      </w:r>
    </w:p>
    <w:p>
      <w:pPr>
        <w:spacing w:after="80"/>
      </w:pPr>
      <w:r>
        <w:rPr>
          <w:rFonts w:ascii="Times New Roman" w:cs="Times New Roman" w:eastAsia="Times New Roman" w:hAnsi="Times New Roman"/>
          <w:b w:val="false"/>
          <w:bCs w:val="false"/>
          <w:i w:val="false"/>
          <w:iCs w:val="false"/>
          <w:sz w:val="22"/>
          <w:szCs w:val="22"/>
        </w:rPr>
        <w:t xml:space="preserve">  (ii) capital contributions to the Company;</w:t>
      </w:r>
    </w:p>
    <w:p>
      <w:pPr>
        <w:spacing w:after="80"/>
      </w:pPr>
      <w:r>
        <w:rPr>
          <w:rFonts w:ascii="Times New Roman" w:cs="Times New Roman" w:eastAsia="Times New Roman" w:hAnsi="Times New Roman"/>
          <w:b w:val="false"/>
          <w:bCs w:val="false"/>
          <w:i w:val="false"/>
          <w:iCs w:val="false"/>
          <w:sz w:val="22"/>
          <w:szCs w:val="22"/>
        </w:rPr>
        <w:t xml:space="preserve">  (iii) amounts received by the Company as agent, custodian, or pass-through for the account of a third party — including amounts collected on behalf of any SPV, institution, athlete, or talent — that the Company is contractually obligated to remit, in each case to the extent so remitted;</w:t>
      </w:r>
    </w:p>
    <w:p>
      <w:pPr>
        <w:spacing w:after="80"/>
      </w:pPr>
      <w:r>
        <w:rPr>
          <w:rFonts w:ascii="Times New Roman" w:cs="Times New Roman" w:eastAsia="Times New Roman" w:hAnsi="Times New Roman"/>
          <w:b w:val="false"/>
          <w:bCs w:val="false"/>
          <w:i w:val="false"/>
          <w:iCs w:val="false"/>
          <w:sz w:val="22"/>
          <w:szCs w:val="22"/>
        </w:rPr>
        <w:t xml:space="preserve">  (iv) sales, use, excise, withholding, and similar taxes collected for remittance to a governmental authority;</w:t>
      </w:r>
    </w:p>
    <w:p>
      <w:pPr>
        <w:spacing w:after="80"/>
      </w:pPr>
      <w:r>
        <w:rPr>
          <w:rFonts w:ascii="Times New Roman" w:cs="Times New Roman" w:eastAsia="Times New Roman" w:hAnsi="Times New Roman"/>
          <w:b w:val="false"/>
          <w:bCs w:val="false"/>
          <w:i w:val="false"/>
          <w:iCs w:val="false"/>
          <w:sz w:val="22"/>
          <w:szCs w:val="22"/>
        </w:rPr>
        <w:t xml:space="preserve">  (v) refunds, rebates, credits, and chargebacks actually paid or credited to a payor, and amounts invoiced but not collected;</w:t>
      </w:r>
    </w:p>
    <w:p>
      <w:pPr>
        <w:spacing w:after="80"/>
      </w:pPr>
      <w:r>
        <w:rPr>
          <w:rFonts w:ascii="Times New Roman" w:cs="Times New Roman" w:eastAsia="Times New Roman" w:hAnsi="Times New Roman"/>
          <w:b w:val="false"/>
          <w:bCs w:val="false"/>
          <w:i w:val="false"/>
          <w:iCs w:val="false"/>
          <w:sz w:val="22"/>
          <w:szCs w:val="22"/>
        </w:rPr>
        <w:t xml:space="preserve">  (vi) proceeds from the sale or disposition of capital assets outside the ordinary course of business;</w:t>
      </w:r>
    </w:p>
    <w:p>
      <w:pPr>
        <w:spacing w:after="80"/>
      </w:pPr>
      <w:r>
        <w:rPr>
          <w:rFonts w:ascii="Times New Roman" w:cs="Times New Roman" w:eastAsia="Times New Roman" w:hAnsi="Times New Roman"/>
          <w:b w:val="false"/>
          <w:bCs w:val="false"/>
          <w:i w:val="false"/>
          <w:iCs w:val="false"/>
          <w:sz w:val="22"/>
          <w:szCs w:val="22"/>
        </w:rPr>
        <w:t xml:space="preserve">  (vii) insurance and litigation proceeds, other than business-interruption proceeds compensating for lost operating revenue;</w:t>
      </w:r>
    </w:p>
    <w:p>
      <w:pPr>
        <w:spacing w:after="80"/>
      </w:pPr>
      <w:r>
        <w:rPr>
          <w:rFonts w:ascii="Times New Roman" w:cs="Times New Roman" w:eastAsia="Times New Roman" w:hAnsi="Times New Roman"/>
          <w:b w:val="false"/>
          <w:bCs w:val="false"/>
          <w:i w:val="false"/>
          <w:iCs w:val="false"/>
          <w:sz w:val="22"/>
          <w:szCs w:val="22"/>
        </w:rPr>
        <w:t xml:space="preserve">  (viii) proceeds received in or in connection with a Change of Control; and</w:t>
      </w:r>
    </w:p>
    <w:p>
      <w:pPr>
        <w:spacing w:after="80"/>
      </w:pPr>
      <w:r>
        <w:rPr>
          <w:rFonts w:ascii="Times New Roman" w:cs="Times New Roman" w:eastAsia="Times New Roman" w:hAnsi="Times New Roman"/>
          <w:b w:val="false"/>
          <w:bCs w:val="false"/>
          <w:i w:val="false"/>
          <w:iCs w:val="false"/>
          <w:sz w:val="22"/>
          <w:szCs w:val="22"/>
        </w:rPr>
        <w:t xml:space="preserve">  (ix) interest income and other non-operating income.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"Original Investment"</w:t>
      </w:r>
      <w:r>
        <w:rPr>
          <w:rFonts w:ascii="Times New Roman" w:cs="Times New Roman" w:eastAsia="Times New Roman" w:hAnsi="Times New Roman"/>
          <w:b w:val="false"/>
          <w:bCs w:val="false"/>
          <w:i w:val="false"/>
          <w:iCs w:val="false"/>
          <w:sz w:val="22"/>
          <w:szCs w:val="22"/>
        </w:rPr>
        <w:t xml:space="preserve"> means the aggregate purchase price paid by the Holder under the Purchase Agreement, as reduced by any capital returned to the Holder under Section 5.</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"Payment Period"</w:t>
      </w:r>
      <w:r>
        <w:rPr>
          <w:rFonts w:ascii="Times New Roman" w:cs="Times New Roman" w:eastAsia="Times New Roman" w:hAnsi="Times New Roman"/>
          <w:b w:val="false"/>
          <w:bCs w:val="false"/>
          <w:i w:val="false"/>
          <w:iCs w:val="false"/>
          <w:sz w:val="22"/>
          <w:szCs w:val="22"/>
        </w:rPr>
        <w:t xml:space="preserve"> means each calendar quarter, or portion thereof, during the Term.</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"Revenue-Share Payments"</w:t>
      </w:r>
      <w:r>
        <w:rPr>
          <w:rFonts w:ascii="Times New Roman" w:cs="Times New Roman" w:eastAsia="Times New Roman" w:hAnsi="Times New Roman"/>
          <w:b w:val="false"/>
          <w:bCs w:val="false"/>
          <w:i w:val="false"/>
          <w:iCs w:val="false"/>
          <w:sz w:val="22"/>
          <w:szCs w:val="22"/>
        </w:rPr>
        <w:t xml:space="preserve"> means all amounts paid to the Holder under Section 2.</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THE REVENUE-SHARE RIGHT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2.1 Payment.</w:t>
      </w:r>
      <w:r>
        <w:rPr>
          <w:rFonts w:ascii="Times New Roman" w:cs="Times New Roman" w:eastAsia="Times New Roman" w:hAnsi="Times New Roman"/>
          <w:b w:val="false"/>
          <w:bCs w:val="false"/>
          <w:i w:val="false"/>
          <w:iCs w:val="false"/>
          <w:sz w:val="22"/>
          <w:szCs w:val="22"/>
        </w:rPr>
        <w:t xml:space="preserve"> The Company will pay the Holder, for each Payment Period, the Holder's Pro Rata Share of the following:</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 First Tier.</w:t>
      </w:r>
      <w:r>
        <w:rPr>
          <w:rFonts w:ascii="Times New Roman" w:cs="Times New Roman" w:eastAsia="Times New Roman" w:hAnsi="Times New Roman"/>
          <w:b w:val="false"/>
          <w:bCs w:val="false"/>
          <w:i w:val="false"/>
          <w:iCs w:val="false"/>
          <w:sz w:val="22"/>
          <w:szCs w:val="22"/>
        </w:rPr>
        <w:t xml:space="preserve"> Fifty percent (50%) of Gross Cash Revenue, until aggregate Revenue-Share Payments to all holders equal </w:t>
      </w:r>
      <w:r>
        <w:rPr>
          <w:rFonts w:ascii="Times New Roman" w:cs="Times New Roman" w:eastAsia="Times New Roman" w:hAnsi="Times New Roman"/>
          <w:b/>
          <w:bCs/>
          <w:i w:val="false"/>
          <w:iCs w:val="false"/>
          <w:sz w:val="22"/>
          <w:szCs w:val="22"/>
        </w:rPr>
        <w:t xml:space="preserve">one times (1.0×)</w:t>
      </w:r>
      <w:r>
        <w:rPr>
          <w:rFonts w:ascii="Times New Roman" w:cs="Times New Roman" w:eastAsia="Times New Roman" w:hAnsi="Times New Roman"/>
          <w:b w:val="false"/>
          <w:bCs w:val="false"/>
          <w:i w:val="false"/>
          <w:iCs w:val="false"/>
          <w:sz w:val="22"/>
          <w:szCs w:val="22"/>
        </w:rPr>
        <w:t xml:space="preserve"> the aggregate Original Investment of all holders; then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(b) Second Tier.</w:t>
      </w:r>
      <w:r>
        <w:rPr>
          <w:rFonts w:ascii="Times New Roman" w:cs="Times New Roman" w:eastAsia="Times New Roman" w:hAnsi="Times New Roman"/>
          <w:b w:val="false"/>
          <w:bCs w:val="false"/>
          <w:i w:val="false"/>
          <w:iCs w:val="false"/>
          <w:sz w:val="22"/>
          <w:szCs w:val="22"/>
        </w:rPr>
        <w:t xml:space="preserve"> Ten percent (10%) of Gross Cash Revenue, until aggregate Revenue-Share Payments to all holders equal </w:t>
      </w:r>
      <w:r>
        <w:rPr>
          <w:rFonts w:ascii="Times New Roman" w:cs="Times New Roman" w:eastAsia="Times New Roman" w:hAnsi="Times New Roman"/>
          <w:b/>
          <w:bCs/>
          <w:i w:val="false"/>
          <w:iCs w:val="false"/>
          <w:sz w:val="22"/>
          <w:szCs w:val="22"/>
        </w:rPr>
        <w:t xml:space="preserve">two times (2.0×)</w:t>
      </w:r>
      <w:r>
        <w:rPr>
          <w:rFonts w:ascii="Times New Roman" w:cs="Times New Roman" w:eastAsia="Times New Roman" w:hAnsi="Times New Roman"/>
          <w:b w:val="false"/>
          <w:bCs w:val="false"/>
          <w:i w:val="false"/>
          <w:iCs w:val="false"/>
          <w:sz w:val="22"/>
          <w:szCs w:val="22"/>
        </w:rPr>
        <w:t xml:space="preserve"> the aggregate Original Investment of all holders.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2.2 Termination of the Right.</w:t>
      </w:r>
      <w:r>
        <w:rPr>
          <w:rFonts w:ascii="Times New Roman" w:cs="Times New Roman" w:eastAsia="Times New Roman" w:hAnsi="Times New Roman"/>
          <w:b w:val="false"/>
          <w:bCs w:val="false"/>
          <w:i w:val="false"/>
          <w:iCs w:val="false"/>
          <w:sz w:val="22"/>
          <w:szCs w:val="22"/>
        </w:rPr>
        <w:t xml:space="preserve"> Upon aggregate Revenue-Share Payments reaching 2.0× the aggregate Original Investment, the Revenue-Share Right terminates automatically and the Company has no further payment obligation under this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2.3 Tier Transition.</w:t>
      </w:r>
      <w:r>
        <w:rPr>
          <w:rFonts w:ascii="Times New Roman" w:cs="Times New Roman" w:eastAsia="Times New Roman" w:hAnsi="Times New Roman"/>
          <w:b w:val="false"/>
          <w:bCs w:val="false"/>
          <w:i w:val="false"/>
          <w:iCs w:val="false"/>
          <w:sz w:val="22"/>
          <w:szCs w:val="22"/>
        </w:rPr>
        <w:t xml:space="preserve"> Where Gross Cash Revenue in a single Payment Period causes the 1.0× threshold to be met, the portion of that revenue required to reach 1.0× is applied at the First Tier rate and the remainder of that Period's Gross Cash Revenue is applied at the Second Tier rate.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2.4 Pro Rata Share.</w:t>
      </w:r>
      <w:r>
        <w:rPr>
          <w:rFonts w:ascii="Times New Roman" w:cs="Times New Roman" w:eastAsia="Times New Roman" w:hAnsi="Times New Roman"/>
          <w:b w:val="false"/>
          <w:bCs w:val="false"/>
          <w:i w:val="false"/>
          <w:iCs w:val="false"/>
          <w:sz w:val="22"/>
          <w:szCs w:val="22"/>
        </w:rPr>
        <w:t xml:space="preserve"> "Pro Rata Share" means the ratio of the Holder's Original Investment to the aggregate Original Investment of all holders of Revenue-Share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2.5 In Addition to Equity.</w:t>
      </w:r>
      <w:r>
        <w:rPr>
          <w:rFonts w:ascii="Times New Roman" w:cs="Times New Roman" w:eastAsia="Times New Roman" w:hAnsi="Times New Roman"/>
          <w:b w:val="false"/>
          <w:bCs w:val="false"/>
          <w:i w:val="false"/>
          <w:iCs w:val="false"/>
          <w:sz w:val="22"/>
          <w:szCs w:val="22"/>
        </w:rPr>
        <w:t xml:space="preserve"> The Revenue-Share Payments are in addition to, and are not credited or offset against, any dividend, distribution, or other amount payable to the Holder in respect of the Holder's shares of Class A Common Stock. The Holder's equity interest is permanent and unaffected by this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2.6 No Equity or Governance Rights.</w:t>
      </w:r>
      <w:r>
        <w:rPr>
          <w:rFonts w:ascii="Times New Roman" w:cs="Times New Roman" w:eastAsia="Times New Roman" w:hAnsi="Times New Roman"/>
          <w:b w:val="false"/>
          <w:bCs w:val="false"/>
          <w:i w:val="false"/>
          <w:iCs w:val="false"/>
          <w:sz w:val="22"/>
          <w:szCs w:val="22"/>
        </w:rPr>
        <w:t xml:space="preserve"> This Agreement grants the Holder a contractual payment right only. It confers no voting rights, no ownership interest, no board representation, no right to participate in management, and no right to dividends or distributions in respect of the Company's capital stock.</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PAYMENT, REPORTING, AND AUDIT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3.1 Payment Timing.</w:t>
      </w:r>
      <w:r>
        <w:rPr>
          <w:rFonts w:ascii="Times New Roman" w:cs="Times New Roman" w:eastAsia="Times New Roman" w:hAnsi="Times New Roman"/>
          <w:b w:val="false"/>
          <w:bCs w:val="false"/>
          <w:i w:val="false"/>
          <w:iCs w:val="false"/>
          <w:sz w:val="22"/>
          <w:szCs w:val="22"/>
        </w:rPr>
        <w:t xml:space="preserve"> The Company will pay amounts due within forty-five (45) days after the end of each Payment Period.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3.2 Statements.</w:t>
      </w:r>
      <w:r>
        <w:rPr>
          <w:rFonts w:ascii="Times New Roman" w:cs="Times New Roman" w:eastAsia="Times New Roman" w:hAnsi="Times New Roman"/>
          <w:b w:val="false"/>
          <w:bCs w:val="false"/>
          <w:i w:val="false"/>
          <w:iCs w:val="false"/>
          <w:sz w:val="22"/>
          <w:szCs w:val="22"/>
        </w:rPr>
        <w:t xml:space="preserve"> With each payment, the Company will deliver a statement showing, for the Payment Period: Gross Cash Revenue and its computation, the applicable tier and rate, the amount paid, and cumulative Revenue-Share Payments to date against the 1.0× and 2.0× thresholds.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3.3 Records.</w:t>
      </w:r>
      <w:r>
        <w:rPr>
          <w:rFonts w:ascii="Times New Roman" w:cs="Times New Roman" w:eastAsia="Times New Roman" w:hAnsi="Times New Roman"/>
          <w:b w:val="false"/>
          <w:bCs w:val="false"/>
          <w:i w:val="false"/>
          <w:iCs w:val="false"/>
          <w:sz w:val="22"/>
          <w:szCs w:val="22"/>
        </w:rPr>
        <w:t xml:space="preserve"> The Company will maintain complete and accurate books and records sufficient to verify Gross Cash Revenue for three (3) years following each Payment Period.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3.4 Audit.</w:t>
      </w:r>
      <w:r>
        <w:rPr>
          <w:rFonts w:ascii="Times New Roman" w:cs="Times New Roman" w:eastAsia="Times New Roman" w:hAnsi="Times New Roman"/>
          <w:b w:val="false"/>
          <w:bCs w:val="false"/>
          <w:i w:val="false"/>
          <w:iCs w:val="false"/>
          <w:sz w:val="22"/>
          <w:szCs w:val="22"/>
        </w:rPr>
        <w:t xml:space="preserve"> Once per calendar year, on thirty (30) days' notice, the Investor Representative (acting on behalf of all holders) may cause an independent certified public accountant to examine the Company's records solely to verify the computation of Gross Cash Revenue. The examining party bears the cost, except that if the examination discloses an underpayment exceeding five percent (5%) for the period examined, the Company will bear the reasonable cost of the examination and pay the shortfall, with interest at the Prime Rate plus 2%, within thirty (30) days.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3.5 Withholding.</w:t>
      </w:r>
      <w:r>
        <w:rPr>
          <w:rFonts w:ascii="Times New Roman" w:cs="Times New Roman" w:eastAsia="Times New Roman" w:hAnsi="Times New Roman"/>
          <w:b w:val="false"/>
          <w:bCs w:val="false"/>
          <w:i w:val="false"/>
          <w:iCs w:val="false"/>
          <w:sz w:val="22"/>
          <w:szCs w:val="22"/>
        </w:rPr>
        <w:t xml:space="preserve"> The Company may withhold from any payment amounts required to be withheld under applicable tax law.</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CHANGE OF CONTROL</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Upon the closing of a Change of Control, the Company (or its successor) will pay the Holder, at closing, an amount equal to the Holder's Pro Rata Share of the excess of (a) 2.0× the aggregate Original Investment over (b) aggregate Revenue-Share Payments made through the closing date. Upon that payment, the Revenue-Share Right terminates. For the avoidance of doubt, this payment is in addition to the consideration payable to the Holder in respect of the Holder's shares.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RETURN OF CAPITAL</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If capital is returned to the Holder pursuant to the return-of-capital right in the Stockholders' Agreement, the Holder's Original Investment is reduced dollar-for-dollar by the amount returned, and the 1.0× and 2.0× thresholds are recomputed accordingly. Capital returned under that right is not itself a Revenue-Share Payment.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COMPANY COVENANTS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6.1 Ordinary Course.</w:t>
      </w:r>
      <w:r>
        <w:rPr>
          <w:rFonts w:ascii="Times New Roman" w:cs="Times New Roman" w:eastAsia="Times New Roman" w:hAnsi="Times New Roman"/>
          <w:b w:val="false"/>
          <w:bCs w:val="false"/>
          <w:i w:val="false"/>
          <w:iCs w:val="false"/>
          <w:sz w:val="22"/>
          <w:szCs w:val="22"/>
        </w:rPr>
        <w:t xml:space="preserve"> The Company will conduct its business in good faith and will not structure transactions with the principal purpose of diverting, deferring, or re-characterizing Gross Cash Revenue to avoid or reduce payments under this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6.2 Affiliate Transactions.</w:t>
      </w:r>
      <w:r>
        <w:rPr>
          <w:rFonts w:ascii="Times New Roman" w:cs="Times New Roman" w:eastAsia="Times New Roman" w:hAnsi="Times New Roman"/>
          <w:b w:val="false"/>
          <w:bCs w:val="false"/>
          <w:i w:val="false"/>
          <w:iCs w:val="false"/>
          <w:sz w:val="22"/>
          <w:szCs w:val="22"/>
        </w:rPr>
        <w:t xml:space="preserve"> Revenue arising from transactions with affiliates of the Company will be included in Gross Cash Revenue at arm's-length fair value.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6.3 Subordination.</w:t>
      </w:r>
      <w:r>
        <w:rPr>
          <w:rFonts w:ascii="Times New Roman" w:cs="Times New Roman" w:eastAsia="Times New Roman" w:hAnsi="Times New Roman"/>
          <w:b w:val="false"/>
          <w:bCs w:val="false"/>
          <w:i w:val="false"/>
          <w:iCs w:val="false"/>
          <w:sz w:val="22"/>
          <w:szCs w:val="22"/>
        </w:rPr>
        <w:t xml:space="preserve"> The Company's obligations under this Agreement are subordinate in right of payment to the Company's senior secured indebtedness for borrowed money, if any, and are senior to distributions on the Company's capital stock.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6.4 No Impairment.</w:t>
      </w:r>
      <w:r>
        <w:rPr>
          <w:rFonts w:ascii="Times New Roman" w:cs="Times New Roman" w:eastAsia="Times New Roman" w:hAnsi="Times New Roman"/>
          <w:b w:val="false"/>
          <w:bCs w:val="false"/>
          <w:i w:val="false"/>
          <w:iCs w:val="false"/>
          <w:sz w:val="22"/>
          <w:szCs w:val="22"/>
        </w:rPr>
        <w:t xml:space="preserve"> The Company will not amend its governing documents, or enter into any agreement, in a manner that would materially impair the Holder's rights under this Agreement without the consent required under the Stockholders' Agreement.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TERM</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Agreement begins on the date hereof and continues until the earliest of (a) termination of the Revenue-Share Right under Section 2.2, (b) payment in full under Section 4, or (c) written agreement of the Company and the Investor Representative (the "</w:t>
      </w:r>
      <w:r>
        <w:rPr>
          <w:rFonts w:ascii="Times New Roman" w:cs="Times New Roman" w:eastAsia="Times New Roman" w:hAnsi="Times New Roman"/>
          <w:b/>
          <w:bCs/>
          <w:i w:val="false"/>
          <w:iCs w:val="false"/>
          <w:sz w:val="22"/>
          <w:szCs w:val="22"/>
        </w:rPr>
        <w:t xml:space="preserve">Term</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TRANSFER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Revenue-Share Right may not be assigned or transferred without the Company's prior written consent, except that it may be transferred together with — and only together with — the Holder's shares of Class A Common Stock in a transfer permitted under the Stockholders' Agreement. The Revenue-Share Right has not been registered under the Securities Act of 1933 and may not be transferred absent registration or an available exemption.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9.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9.1 Governing Law.</w:t>
      </w:r>
      <w:r>
        <w:rPr>
          <w:rFonts w:ascii="Times New Roman" w:cs="Times New Roman" w:eastAsia="Times New Roman" w:hAnsi="Times New Roman"/>
          <w:b w:val="false"/>
          <w:bCs w:val="false"/>
          <w:i w:val="false"/>
          <w:iCs w:val="false"/>
          <w:sz w:val="22"/>
          <w:szCs w:val="22"/>
        </w:rPr>
        <w:t xml:space="preserve"> Delaware, without regard to conflicts of law principles. The Delaware Court of Chancery has exclusive jurisdiction.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9.2 Entire Agreement.</w:t>
      </w:r>
      <w:r>
        <w:rPr>
          <w:rFonts w:ascii="Times New Roman" w:cs="Times New Roman" w:eastAsia="Times New Roman" w:hAnsi="Times New Roman"/>
          <w:b w:val="false"/>
          <w:bCs w:val="false"/>
          <w:i w:val="false"/>
          <w:iCs w:val="false"/>
          <w:sz w:val="22"/>
          <w:szCs w:val="22"/>
        </w:rPr>
        <w:t xml:space="preserve"> This Agreement, together with the Purchase Agreement and the Stockholders' Agreement, constitutes the entire agreement between the parties with respect to its subject matter.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9.3 Amendment.</w:t>
      </w:r>
      <w:r>
        <w:rPr>
          <w:rFonts w:ascii="Times New Roman" w:cs="Times New Roman" w:eastAsia="Times New Roman" w:hAnsi="Times New Roman"/>
          <w:b w:val="false"/>
          <w:bCs w:val="false"/>
          <w:i w:val="false"/>
          <w:iCs w:val="false"/>
          <w:sz w:val="22"/>
          <w:szCs w:val="22"/>
        </w:rPr>
        <w:t xml:space="preserve"> This Agreement may be amended only in a writing signed by the Company and the Investor Representative, and any such amendment binds all holders of Revenue-Share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9.4 Notices.</w:t>
      </w:r>
      <w:r>
        <w:rPr>
          <w:rFonts w:ascii="Times New Roman" w:cs="Times New Roman" w:eastAsia="Times New Roman" w:hAnsi="Times New Roman"/>
          <w:b w:val="false"/>
          <w:bCs w:val="false"/>
          <w:i w:val="false"/>
          <w:iCs w:val="false"/>
          <w:sz w:val="22"/>
          <w:szCs w:val="22"/>
        </w:rPr>
        <w:t xml:space="preserve"> In writing, to the addresses on the signature page.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9.5 Severability.</w:t>
      </w:r>
      <w:r>
        <w:rPr>
          <w:rFonts w:ascii="Times New Roman" w:cs="Times New Roman" w:eastAsia="Times New Roman" w:hAnsi="Times New Roman"/>
          <w:b w:val="false"/>
          <w:bCs w:val="false"/>
          <w:i w:val="false"/>
          <w:iCs w:val="false"/>
          <w:sz w:val="22"/>
          <w:szCs w:val="22"/>
        </w:rPr>
        <w:t xml:space="preserve"> If any provision is held unenforceable, the remainder continues in effect.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9.6 Counterparts.</w:t>
      </w:r>
      <w:r>
        <w:rPr>
          <w:rFonts w:ascii="Times New Roman" w:cs="Times New Roman" w:eastAsia="Times New Roman" w:hAnsi="Times New Roman"/>
          <w:b w:val="false"/>
          <w:bCs w:val="false"/>
          <w:i w:val="false"/>
          <w:iCs w:val="false"/>
          <w:sz w:val="22"/>
          <w:szCs w:val="22"/>
        </w:rPr>
        <w:t xml:space="preserve"> This Agreement may be executed in counterparts and by electronic signature.</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COMPANY</w:t>
      </w:r>
    </w:p>
    <w:p>
      <w:pPr>
        <w:spacing w:after="80"/>
      </w:pPr>
      <w:r>
        <w:rPr>
          <w:rFonts w:ascii="Times New Roman" w:cs="Times New Roman" w:eastAsia="Times New Roman" w:hAnsi="Times New Roman"/>
          <w:b w:val="false"/>
          <w:bCs w:val="false"/>
          <w:i w:val="false"/>
          <w:iCs w:val="false"/>
          <w:sz w:val="22"/>
          <w:szCs w:val="22"/>
        </w:rPr>
        <w:t xml:space="preserve">Cinderella Corp.</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By: __________________________</w:t>
      </w:r>
    </w:p>
    <w:p>
      <w:pPr>
        <w:spacing w:after="80"/>
      </w:pPr>
      <w:r>
        <w:rPr>
          <w:rFonts w:ascii="Times New Roman" w:cs="Times New Roman" w:eastAsia="Times New Roman" w:hAnsi="Times New Roman"/>
          <w:b w:val="false"/>
          <w:bCs w:val="false"/>
          <w:i w:val="false"/>
          <w:iCs w:val="false"/>
          <w:sz w:val="22"/>
          <w:szCs w:val="22"/>
        </w:rPr>
        <w:t xml:space="preserve">Name: Norman C. de Silva</w:t>
      </w:r>
    </w:p>
    <w:p>
      <w:pPr>
        <w:spacing w:after="80"/>
      </w:pPr>
      <w:r>
        <w:rPr>
          <w:rFonts w:ascii="Times New Roman" w:cs="Times New Roman" w:eastAsia="Times New Roman" w:hAnsi="Times New Roman"/>
          <w:b w:val="false"/>
          <w:bCs w:val="false"/>
          <w:i w:val="false"/>
          <w:iCs w:val="false"/>
          <w:sz w:val="22"/>
          <w:szCs w:val="22"/>
        </w:rPr>
        <w:t xml:space="preserve">Title: Chief Executive Officer</w:t>
      </w:r>
    </w:p>
    <w:p>
      <w:pPr>
        <w:spacing w:after="80"/>
      </w:pPr>
      <w:r>
        <w:rPr>
          <w:rFonts w:ascii="Times New Roman" w:cs="Times New Roman" w:eastAsia="Times New Roman" w:hAnsi="Times New Roman"/>
          <w:b w:val="false"/>
          <w:bCs w:val="false"/>
          <w:i w:val="false"/>
          <w:iCs w:val="false"/>
          <w:sz w:val="22"/>
          <w:szCs w:val="22"/>
        </w:rPr>
        <w:t xml:space="preserve">Date: __________________________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HOLDER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Signature: __________________________</w:t>
      </w:r>
    </w:p>
    <w:p>
      <w:pPr>
        <w:spacing w:after="80"/>
      </w:pPr>
      <w:r>
        <w:rPr>
          <w:rFonts w:ascii="Times New Roman" w:cs="Times New Roman" w:eastAsia="Times New Roman" w:hAnsi="Times New Roman"/>
          <w:b w:val="false"/>
          <w:bCs w:val="false"/>
          <w:i w:val="false"/>
          <w:iCs w:val="false"/>
          <w:sz w:val="22"/>
          <w:szCs w:val="22"/>
        </w:rPr>
        <w:t xml:space="preserve">Name: __________________________</w:t>
      </w:r>
    </w:p>
    <w:p>
      <w:pPr>
        <w:spacing w:after="80"/>
      </w:pPr>
      <w:r>
        <w:rPr>
          <w:rFonts w:ascii="Times New Roman" w:cs="Times New Roman" w:eastAsia="Times New Roman" w:hAnsi="Times New Roman"/>
          <w:b w:val="false"/>
          <w:bCs w:val="false"/>
          <w:i w:val="false"/>
          <w:iCs w:val="false"/>
          <w:sz w:val="22"/>
          <w:szCs w:val="22"/>
        </w:rPr>
        <w:t xml:space="preserve">Original Investment: $__________________________</w:t>
      </w:r>
    </w:p>
    <w:p>
      <w:pPr>
        <w:spacing w:after="80"/>
      </w:pPr>
      <w:r>
        <w:rPr>
          <w:rFonts w:ascii="Times New Roman" w:cs="Times New Roman" w:eastAsia="Times New Roman" w:hAnsi="Times New Roman"/>
          <w:b w:val="false"/>
          <w:bCs w:val="false"/>
          <w:i w:val="false"/>
          <w:iCs w:val="false"/>
          <w:sz w:val="22"/>
          <w:szCs w:val="22"/>
        </w:rPr>
        <w:t xml:space="preserve">Date: __________________________</w:t>
      </w:r>
    </w:p>
    <w:p>
      <w:pPr>
        <w:spacing w:after="80"/>
      </w:pPr>
      <w:r>
        <w:rPr>
          <w:rFonts w:ascii="Times New Roman" w:cs="Times New Roman" w:eastAsia="Times New Roman" w:hAnsi="Times New Roman"/>
          <w:b w:val="false"/>
          <w:bCs w:val="false"/>
          <w:i w:val="false"/>
          <w:iCs w:val="false"/>
          <w:sz w:val="22"/>
          <w:szCs w:val="22"/>
        </w:rPr>
        <w:t xml:space="preserve">Address / Email: __________________________</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 Confidential*</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2026-08-25T03:16:12.225Z</dcterms:created>
  <dcterms:modified xsi:type="dcterms:W3CDTF">2026-08-25T03:16:12.225Z</dcterms:modified>
</cp:coreProperties>
</file>

<file path=docProps/custom.xml><?xml version="1.0" encoding="utf-8"?>
<Properties xmlns="http://schemas.openxmlformats.org/officeDocument/2006/custom-properties" xmlns:vt="http://schemas.openxmlformats.org/officeDocument/2006/docPropsVTypes"/>
</file>