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DRAFT — FOR DISCUSSION ONLY — NOT LEGAL ADVICE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Working draft, 2026-08-15, for review with Loeb &amp; Loeb and Sunjay before use. Not an offer of securities.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Entity: Cinderella Corp., a Delaware corporation.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Bracketed items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[LIKE THIS]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need confirmation. Confirm adviser's exact legal name (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Greg Kristof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per vault)._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STRATEGIC ADVISER AGREEMENT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Strategic Adviser Agreement (this "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Agreement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") is entered into as of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[___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], 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(the "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Effective Date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") by and between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Cinderella Corp.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, a Delaware corporation (the "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Company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"), and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Greg Kristof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("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Adviser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").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 Services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Role.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Adviser will serve as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non-exclusive Strategic Adviser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providing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strategic guidance and network access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including his basketball roster/NIL/coach/event network and general strategic input on the Company's playbook. Advisory and introductions only.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Limits.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Adviser is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not an officer, director, employee, or agent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has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 authority to bind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the Company, and will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not execute, negotiate to close, or sign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agreements on the Company's behalf. Deal execution rests with the Company.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Non-exclusive.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Adviser may continue his own businesses (including Zero Gravity / 6th Sense) provided he complies with Sections 5–7.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1.4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Time.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No minimum hours; Adviser will make reasonable efforts to be available for periodic consultation.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 Compensation — Equity (only)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Restricted Stock Grant.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As the sole compensation under this Agreement, the Company will grant Adviser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[4]% of the Company's Class A Common Stock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(the "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Shares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"), measured on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fully-diluted capitalization of the Company immediately PRIOR to the Seed Round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(i.e.,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pre-money / pre-Seed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), issued 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restricted stock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under a Restricted Stock Purchase Agreement (the "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RSPA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") in the Company's standard form.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[Confirm exact share count once per-share price is set.]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Seed dilution applies.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Because the Shares are measured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pre-Seed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Adviser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is diluted by the Seed Round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on the same basis as the Founders. For illustration only,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[4]%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pre-Seed position becomes approximately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[3.4]%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following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[15]%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Seed Round. Adviser has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 anti-dilution protection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with respect to the Seed Round or any subsequent issuance.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Vesting.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The Shares vest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monthly over [24] months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from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[Effective Date / vesting commencement date]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[no cliff]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subject to Adviser's continued service under this Agreement.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[Optional: acceleration on a change of control — single-trigger / double-trigger — confirm.]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Forfeiture / Repurchase.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On termination,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unvested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Shares are forfeited / subject to Company repurchase at the lower of cost or fair market value;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vested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Shares are subject to the transfer restrictions and ROFR/co-sale in the Stockholders' Agreement.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2.4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Class A only.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The Shares are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Class A Common (1 vote/share)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Adviser does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receive Class B / super-voting stock (which only Norman C. de Silva holds).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2.5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Tax / 83(b).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Adviser is advised to consult his own tax adviser and to consider filing an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83(b) election within 30 days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of grant. The Company makes no tax representation.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[Confirm FMV / 409A support and the Rule 701 / Reg D exemption for the issuance — counsel.]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 cash.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No cash fees are payable under this Agreement. Paid consulting services (from 2027) are governed by a separate Consulting Agreement.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 Independent Contractor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Adviser is an independent contractor, responsible for his own taxes, and is not entitled to employee benefits. Nothing creates a partnership, joint venture, or employment relationship.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 Term and Termination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Term.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Begins on the Effective Date and continues until terminated.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Termination.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Either party may terminate 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[30] days'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written notice (or immediately for material breach). Vesting stops on termination; Sections 5–8 survive.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 Confidentiality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Adviser will hold all non-public Company information in confidence, use it only for the Company's benefit, and return or destroy it on termination.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6. Intellectual Property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Any work product, materials, concepts, or contributions Adviser creates for or delivers to the Company in connection with the services are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works made for hire / assigned to the Company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 Adviser's pre-existing and independent business IP (e.g., Zero Gravity) remains his.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7. Non-Circumvention / Non-Solicitation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Consistent with the Company's non-circumvention framework, Adviser will not, during the term and for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[24] months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after, circumvent the Company with respect to schools, celebrities, capital partners, sponsors, or other counterparties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introduced through or in connection with the Company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nor solicit Company personnel.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[Confirm scope so it doesn't impair his existing Zero Gravity relationships — carve out pre-existing relationships.]</w:t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8. General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8.1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Governing Law.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Delaware.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[Venue / arbitration — confirm.]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8.2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Entire Agreement.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This Agreement + the RSPA + the Stockholders' Agreement are the entire agreement on this subject; amendments in writing signed by both parties.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8.3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Assignment.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Adviser may not assign; the Company may assign to a successor.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8.4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Counterparts / Electronic Signature.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Permitted.</w:t>
      </w:r>
    </w:p>
    <w:p>
      <w:pPr>
        <w:spacing w:after="60"/>
      </w:pPr>
      <w:r>
        <w:t xml:space="preserve"/>
      </w:r>
    </w:p>
    <w:p>
      <w:pPr>
        <w:pBdr>
          <w:bottom w:val="single" w:color="999999" w:sz="6" w:space="1"/>
        </w:pBdr>
        <w:spacing w:after="80"/>
      </w:pPr>
      <w: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COMPANY: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Cinderella Corp.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By: _________________________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 Name: Norman C. de Silva  Title: [CEO / President]  Date: ______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ADVISER: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_________________________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 Greg Kristof  Date: ______</w:t>
      </w:r>
    </w:p>
    <w:p>
      <w:pPr>
        <w:spacing w:after="60"/>
      </w:pPr>
      <w:r>
        <w:t xml:space="preserve"/>
      </w:r>
    </w:p>
    <w:p>
      <w:pPr>
        <w:pBdr>
          <w:bottom w:val="single" w:color="999999" w:sz="6" w:space="1"/>
        </w:pBdr>
        <w:spacing w:after="80"/>
      </w:pPr>
      <w:r>
        <w:t xml:space="preserve"/>
      </w:r>
    </w:p>
    <w:p>
      <w:pPr>
        <w:pStyle w:val="Heading3"/>
        <w:spacing w:after="80" w:before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For counsel before use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1. Exact equity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share count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 vesting basis; acceleration.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Securities exemption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(Rule 701 vs. Reg D) for the adviser grant;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FMV/409A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 83(b) mechanics.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 Confirm the grant is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Class A Common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and reconciles with the cap table / Stockholders' Agreement.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 Non-circumvention scope vs. his existing Zero Gravity / 6th Sense business.</w:t>
      </w:r>
    </w:p>
    <w:p>
      <w:pPr>
        <w:spacing w:after="6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2026-08-25T00:53:47.034Z</dcterms:created>
  <dcterms:modified xsi:type="dcterms:W3CDTF">2026-08-25T00:53:47.053Z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