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SIDE LETTER AGREEMENT — REVENUE SHARE</w:t>
      </w:r>
    </w:p>
    <w:p>
      <w:pPr>
        <w:jc w:val="center"/>
      </w:pPr>
      <w:r>
        <w:rPr>
          <w:i/>
          <w:color w:val="666666"/>
          <w:sz w:val="17"/>
        </w:rPr>
        <w:t>Revised 2026-10-07 (final) — incorporating Adviser’s 2026-10-07 comments and his final cleanup list; supersedes all earlier 2026-10-07 copies.</w:t>
      </w:r>
    </w:p>
    <w:p/>
    <w:p>
      <w:r>
        <w:t>SIDE LETTER AGREEMENT</w:t>
      </w:r>
    </w:p>
    <w:p>
      <w:r>
        <w:t>This Side Letter Agreement (this “Agreement”) is made and entered into as of October [ ], 2026, by and among Cinderella Corp, a Delaware corporation (the “Company”) and the investors listed on the signature pages herein (each an “Investor” and collectively the “Investors”).</w:t>
      </w:r>
    </w:p>
    <w:p>
      <w:r>
        <w:t>WHEREAS, concurrently with the execution of this Agreement, the Company and each Investor are entering into subscription agreements, dated as of the date hereof (the “Subscription Agreements”);</w:t>
      </w:r>
    </w:p>
    <w:p>
      <w:r>
        <w:t>WHEREAS, as a condition to the Investors entry into the Subscription Agreements and purchase of Class A Common Stock, par value $0.001, of the Company (the “Shares”), and in lieu of certain other rights, privileges, and preferences, the Investors shall receive certain preferential payments based on the gross revenue of the Company, in relation to the holder of Class B Common Stock, par value $0.001, of the Company (the “Class B Stockholder”); and</w:t>
      </w:r>
    </w:p>
    <w:p>
      <w:r>
        <w:t>WHEREAS, the parties herein wish to enter into this Agreement with respect to the preferential payments to confirm certain understandings.</w:t>
      </w:r>
    </w:p>
    <w:p>
      <w:r>
        <w:t>NOW, THEREFORE, for good and valuable consideration, the parties agree as follows:</w:t>
      </w:r>
    </w:p>
    <w:p>
      <w:pPr>
        <w:spacing w:before="200"/>
      </w:pPr>
      <w:r>
        <w:rPr>
          <w:b/>
        </w:rPr>
        <w:t>1. Acknowledgment and</w:t>
      </w:r>
      <w:r>
        <w:t xml:space="preserve"> Agreement of Preferential Payments. Until this Agreement terminates in accordance with Section 8, the Investors shall be entitled to the below rights (collectively, the “Preferential Payments”) as follows:</w:t>
      </w:r>
    </w:p>
    <w:p>
      <w:pPr>
        <w:ind w:left="432"/>
      </w:pPr>
      <w:r>
        <w:t>(a) first, fifty percent (50%) of all Gross Revenue received by the Company shall be paid to the Investors on a pro rata basis until the Investors have received aggregate Preferential Payments equal to one hundred percent (100%) of their respective Investment Amounts; and</w:t>
      </w:r>
    </w:p>
    <w:p>
      <w:pPr>
        <w:ind w:left="432"/>
      </w:pPr>
      <w:r>
        <w:t>(b) second and finally, ten percent (10%) of all Gross Revenue received by the Company shall be paid to the Investors on a pro rata basis until the Investors have received aggregate Preferential Payments equal to their respective Preferred Return.</w:t>
      </w:r>
    </w:p>
    <w:p>
      <w:pPr>
        <w:ind w:left="432"/>
      </w:pPr>
      <w:r>
        <w:t>(c) Where Gross Revenue in a single Payment Period causes the threshold set forth in Section 1(a) to be met, the portion of such Gross Revenue required to reach that threshold shall be applied at the rate set forth in Section 1(a) and the remainder of such Payment Period’s Gross Revenue shall be applied at the rate set forth in Section 1(b).</w:t>
      </w:r>
    </w:p>
    <w:p>
      <w:pPr>
        <w:ind w:left="432"/>
      </w:pPr>
      <w:r>
        <w:t>(d) The Preferential Payments are in addition to, and shall not be credited or offset against, any dividend, distribution or other amount payable to an Investor in respect of such Investor’s Shares. Each Investor’s equity interest in the Company is unaffected by this Agreement, and this Agreement confers no voting, governance, management or ownership rights.</w:t>
      </w:r>
    </w:p>
    <w:p>
      <w:pPr>
        <w:ind w:left="432"/>
      </w:pPr>
      <w:r>
        <w:rPr>
          <w:b/>
        </w:rPr>
        <w:t>(e) No personal obligation of the Class B Stockholder.</w:t>
      </w:r>
      <w:r>
        <w:t xml:space="preserve"> The Class B Stockholder executes this Agreement solely to acknowledge the arrangements described herein. The Class B Stockholder undertakes no personal obligation, and shall have no personal liability, in respect of the Preferential Payments or any other obligation of the Company under this Agreement.</w:t>
      </w:r>
    </w:p>
    <w:p>
      <w:pPr>
        <w:spacing w:before="200"/>
      </w:pPr>
      <w:r>
        <w:rPr>
          <w:b/>
        </w:rPr>
        <w:t>2. Definitions. As used in this Agreement:</w:t>
      </w:r>
    </w:p>
    <w:p>
      <w:r>
        <w:t>“Gross Revenue” means all cash actually received by the Company from its business operations during a Payment Period, determined on a cash basis, including distributions and dividends received by the Company from any special purpose vehicle or other subsidiary or portfolio entity; management fees, franchise fees and administrative or service fees; sponsorship, marketing and brand-partnership revenue; content, media, documentary, live-event and distribution license fees; and format-licensing, merchandising and other intellectual-property royalties. Gross Revenue expressly excludes: (i) proceeds of any equity or debt financing, including the sale of the Shares and any subsequent capital raise, loan, note or credit facility; (ii) capital contributions to the Company; (iii) amounts received by the Company as agent, custodian or pass-through for the account of a third party, including amounts collected on behalf of any special purpose vehicle, institution, athlete or talent, that the Company is contractually obligated to remit, in each case to the extent so remitted; (iv) sales, use, excise, withholding and similar taxes collected for remittance to a governmental authority; (v) refunds, rebates, credits and chargebacks actually paid or credited to a payor, and amounts invoiced but not collected; (vi) proceeds from the sale or disposition of capital assets outside the ordinary course of business; (vii) insurance and litigation proceeds, other than business-interruption proceeds compensating for lost operating revenue; (viii) proceeds received in or in connection with a Liquidation Event; and (ix) interest income and other non- operating income.</w:t>
      </w:r>
    </w:p>
    <w:p>
      <w:r>
        <w:t>“Investment Amount” of an Investor means the amount of money paid by such Investor in exchange for such Investor’s receipt of its portion of the Shares.</w:t>
      </w:r>
    </w:p>
    <w:p>
      <w:r>
        <w:t>“Investor Representative” means Ankur Jain, or such other person as may be designated from time to time by Investors holding a majority of the Shares then subject to this Agreement, in each case acting in the capacity described in Section 5.</w:t>
      </w:r>
    </w:p>
    <w:p>
      <w:r>
        <w:t>“Liquidation Event” means (a) the consummation of a share exchange, merger or consolidation of the Company with or into another entity or any other company reorganization, if, as a result of such share exchange, merger, consolidation or reorganization, more than 50% of the combined voting power of the continuing or surviving entity’s securities outstanding immediately after such share exchange, merger, consolidation or other reorganization is owned by persons who were not stockholders of the Company immediately prior to such merger, consolidation or other reorganization, (b) the sale of capital stock of the Company by stockholders of the Company (other than in a Public Offering) in a single transaction or series of related transactions if, as a result of such sale, more than 50% of the combined voting power of the Company’s capital stock outstanding immediately after such sale is owned by persons who were not stockholders of the Company immediately prior to such sale or (c) any sale, transfer or other disposition of all or substantially all the assets of the Company and its consolidated subsidiaries to an entity (other than a wholly owned subsidiary of the Company) of which more than 50% of the combined voting power of its outstanding securities is owned by persons who are not stockholders of the Company at the effective time of such sale, transfer or disposition. Notwithstanding the foregoing, a Liquidation Event does not include the grant of a license of the Company's format or other intellectual property to any special purpose vehicle, production partner, distributor or other counterparty in the ordinary course of the Company's business.</w:t>
      </w:r>
    </w:p>
    <w:p>
      <w:r>
        <w:t>“Minimum Reserve” means the greater of (x) two hundred fifty thousand dollars ($250,000) and (y) an amount equal to six (6) months of the Company’s budgeted operating expenses under the then-current operating budget approved by the Board of Directors.</w:t>
      </w:r>
    </w:p>
    <w:p>
      <w:r>
        <w:t>“Payment Period” means each calendar quarter, or portion thereof, during the term of this Agreement.</w:t>
      </w:r>
    </w:p>
    <w:p>
      <w:r>
        <w:t>“Preferred Return” means, with respect to any such Investor, an amount equal to the product of (x) two (2) and (y) the Investment Amount for such Investor. The Preferred Return is an aggregate amount. All Preferential Payments received by an Investor, whether pursuant to Section 1(a) or Section 1(b), shall count toward, and reduce the amount remaining payable to reach, such Investor’s Preferred Return, and in no event shall aggregate Preferential Payments to an Investor exceed such Investor’s Preferred Return.</w:t>
      </w:r>
    </w:p>
    <w:p>
      <w:r>
        <w:t>“Undeployed Seed Capital” means, as of any date of determination, that portion of the aggregate proceeds received by the Company from the sale of the Shares which (i) has not been deployed by the Company, and (ii) is legally available for return. Proceeds are “deployed” to the extent they have been expended by the Company or are contractually committed under an agreement executed by the Company and then in effect. In no event shall Undeployed Seed Capital exceed the aggregate Investment Amounts of all Investors less all amounts previously returned under Section 6. For the avoidance of doubt, Undeployed Seed Capital consists solely of proceeds of the sale of the Shares and does not include Gross Revenue, the proceeds of any other financing, or any other asset of the Company.</w:t>
      </w:r>
    </w:p>
    <w:p>
      <w:pPr>
        <w:spacing w:before="200"/>
      </w:pPr>
      <w:r>
        <w:rPr>
          <w:b/>
        </w:rPr>
        <w:t>3. Payment;</w:t>
      </w:r>
      <w:r>
        <w:t xml:space="preserve"> Reporting; Audit.</w:t>
      </w:r>
    </w:p>
    <w:p>
      <w:pPr>
        <w:ind w:left="432"/>
      </w:pPr>
      <w:r>
        <w:t>(a) The Company shall pay amounts due under Section 1 within forty-five (45) days after the end of each Payment Period.</w:t>
      </w:r>
    </w:p>
    <w:p>
      <w:pPr>
        <w:ind w:left="432"/>
      </w:pPr>
      <w:r>
        <w:t>(b) With each payment, the Company shall deliver a statement showing, for the Payment Period: Gross Revenue and its computation, the applicable rate, the amount paid, and cumulative Preferential Payments to date against the thresholds set forth in Sections 1(a) and 1(b).</w:t>
      </w:r>
    </w:p>
    <w:p>
      <w:pPr>
        <w:ind w:left="432"/>
      </w:pPr>
      <w:r>
        <w:t>(c) The Company shall maintain books and records sufficient to verify Gross Revenue for three (3) years following each Payment Period. Once per calendar year, on thirty (30) days’ prior written notice, Investors holding a majority of the Shares then subject to this Agreement, or the Investor Representative on their behalf, may cause an independent certified public accountant to examine such records solely to verify the computation of Gross Revenue. The examining party shall bear the cost of such examination, except that if the examination discloses an underpayment exceeding five percent (5%) for the period examined, the Company shall bear the reasonable cost of the examination and pay the shortfall within thirty (30) days.</w:t>
      </w:r>
    </w:p>
    <w:p>
      <w:pPr>
        <w:ind w:left="432"/>
      </w:pPr>
      <w:r>
        <w:t>(d) The Company shall not structure transactions with the principal purpose of diverting, deferring or re-characterizing Gross Revenue so as to avoid or reduce payments under this Agreement. Revenue arising from transactions with affiliates of the Company shall be included in Gross Revenue at arm’s-length fair value.</w:t>
      </w:r>
    </w:p>
    <w:p>
      <w:pPr>
        <w:ind w:left="432"/>
      </w:pPr>
      <w:r>
        <w:rPr>
          <w:b/>
        </w:rPr>
        <w:t>(e) Deferral.</w:t>
      </w:r>
      <w:r>
        <w:t xml:space="preserve"> The Company may defer any payment otherwise due under Section 1 to the extent the Board of Directors determines in good faith that making such payment would (i) leave the Company with unrestricted cash reserves of less than the Minimum Reserve, (ii) violate or breach any credit agreement, loan agreement, or other financing arrangement of the Company, (iii) violate the Board of Directors’ fiduciary duties to the Company, or (iv) otherwise violate applicable law. Any amount so deferred shall accrue and shall be paid promptly at such time as payment would no longer violate clauses (i) – (iv) above.</w:t>
      </w:r>
    </w:p>
    <w:p>
      <w:pPr>
        <w:spacing w:before="200"/>
      </w:pPr>
      <w:r>
        <w:rPr>
          <w:b/>
        </w:rPr>
        <w:t>4. Liquidation</w:t>
      </w:r>
      <w:r>
        <w:t xml:space="preserve"> Event. Upon the closing of a Liquidation Event, the Company (or its successor) shall pay to the Investors, at closing and on a pro rata basis, an amount equal to the excess of (a) the aggregate Preferred Return of all Investors over (b) the aggregate Preferential Payments made to the Investors</w:t>
      </w:r>
    </w:p>
    <w:p>
      <w:r>
        <w:t>through the closing date, such excess being the then-unpaid portion of the aggregate Preferred Return, to the extent of funds legally available therefor. Upon such payment, this Agreement shall terminate. For the avoidance of doubt, such payment is in addition to the consideration payable to the Investors in respect of their Shares.</w:t>
      </w:r>
    </w:p>
    <w:p>
      <w:pPr>
        <w:spacing w:before="200"/>
      </w:pPr>
      <w:r>
        <w:rPr>
          <w:b/>
        </w:rPr>
        <w:t>5. Investor</w:t>
      </w:r>
      <w:r>
        <w:t xml:space="preserve"> Representative.</w:t>
      </w:r>
    </w:p>
    <w:p>
      <w:pPr>
        <w:ind w:left="432"/>
      </w:pPr>
      <w:r>
        <w:rPr>
          <w:b/>
        </w:rPr>
        <w:t>(a) Appointment and authority.</w:t>
      </w:r>
      <w:r>
        <w:t xml:space="preserve"> Ankur Jain is hereby appointed as the Investor Representative. The Investor Representative is authorized to give and receive notices, consents, waivers, elections and directions under this Agreement on behalf of the Investors, and any such action shall bind all Investors. The Company shall be entitled to rely conclusively on any notice, consent, waiver, election or direction given by the Investor Representative without further inquiry, provided that the Investor Representative may not take any action requiring the consent of an individual Investor under Section 10(b).</w:t>
      </w:r>
    </w:p>
    <w:p>
      <w:pPr>
        <w:ind w:left="432"/>
      </w:pPr>
      <w:r>
        <w:rPr>
          <w:b/>
        </w:rPr>
        <w:t>(b) Replacement.</w:t>
      </w:r>
      <w:r>
        <w:t xml:space="preserve"> Investors holding a majority of the Shares then subject to this Agreement may replace the Investor Representative at any time upon written notice to the Company. The Investor Representative may resign upon written notice to the Company and the Investors.</w:t>
      </w:r>
    </w:p>
    <w:p>
      <w:pPr>
        <w:ind w:left="432"/>
      </w:pPr>
      <w:r>
        <w:rPr>
          <w:b/>
        </w:rPr>
        <w:t>(c) Indemnification.</w:t>
      </w:r>
      <w:r>
        <w:t xml:space="preserve"> The Company shall indemnify, defend and hold harmless the Investor Representative, and shall advance his reasonable attorneys’ fees and other expenses as incurred, to the fullest extent permitted by applicable law, in respect of any claim, demand, action or proceeding arising out of or relating to his good-faith performance of the role of Investor Representative, including any claim brought by an Investor. Advancement is conditioned upon delivery of an undertaking to repay amounts advanced if it is ultimately determined that he was not entitled to indemnification. This Section 5(c) survives termination of this Agreement.</w:t>
      </w:r>
    </w:p>
    <w:p>
      <w:pPr>
        <w:ind w:left="432"/>
      </w:pPr>
      <w:r>
        <w:rPr>
          <w:b/>
        </w:rPr>
        <w:t>(d) Insurance.</w:t>
      </w:r>
      <w:r>
        <w:t xml:space="preserve"> The Company represents that, as of the date hereof, it does not maintain directors' and officers' liability insurance. The Company shall obtain such insurance on or before the closing of the Seed Round and shall, upon obtaining it, cover the Investor Representative in both his capacity as Investor Representative and his capacity as a Board observer, and shall provide him with the policy's coverage limits and material terms upon request.</w:t>
      </w:r>
    </w:p>
    <w:p>
      <w:pPr>
        <w:spacing w:before="200"/>
      </w:pPr>
      <w:r>
        <w:rPr>
          <w:b/>
        </w:rPr>
        <w:t>6. Return of</w:t>
      </w:r>
      <w:r>
        <w:t xml:space="preserve"> Undeployed Seed Capital.</w:t>
      </w:r>
    </w:p>
    <w:p>
      <w:pPr>
        <w:ind w:left="432"/>
      </w:pPr>
      <w:r>
        <w:rPr>
          <w:b/>
        </w:rPr>
        <w:t>(a) Right to require return.</w:t>
      </w:r>
      <w:r>
        <w:t xml:space="preserve"> At any time, in the Investor Representative’s sole discretion, and without regard to any anniversary of the date hereof and without regard to the Company’s achievement of any operating milestone, financing milestone or other measure of progress, the Investor Representative may deliver written notice to the Company requiring the Company to return Undeployed Seed Capital, in whole or in part, to the Investors on a pro rata basis in proportion to their respective Investment Amounts. No consent, direction or vote of any Investor, of the Board of Directors or of the Company is required, and this right may be exercised on more than one occasion.</w:t>
      </w:r>
    </w:p>
    <w:p>
      <w:pPr>
        <w:ind w:left="432"/>
      </w:pPr>
      <w:r>
        <w:rPr>
          <w:b/>
        </w:rPr>
        <w:t>(b) Mechanics.</w:t>
      </w:r>
      <w:r>
        <w:t xml:space="preserve"> The Company shall pay the amount so required within thirty (30) days following receipt of such notice, together with a statement showing its calculation of Undeployed Seed Capital. The Company shall not, between the notice date and the payment date, expend or commit cash outside the ordinary course of business for the principal purpose of reducing Undeployed Seed Capital.</w:t>
      </w:r>
    </w:p>
    <w:p>
      <w:pPr>
        <w:ind w:left="432"/>
      </w:pPr>
      <w:r>
        <w:rPr>
          <w:b/>
        </w:rPr>
        <w:t>(c) Legally available.</w:t>
      </w:r>
      <w:r>
        <w:t xml:space="preserve"> Consistent with the requirement that the capital be undeployed and legally available for return, no return shall be made to the extent it would (i) render the Company unable to pay its debts as they become due in the ordinary course of business, (ii) be impermissible under the Delaware General Corporation Law or other applicable law, or (iii) violate or breach any credit agreement, loan agreement or other financing arrangement of the Company. Any amount not returned by reason of this Section 6(c) shall be returned promptly once the impediment no longer applies, without need for a further notice.</w:t>
      </w:r>
    </w:p>
    <w:p>
      <w:pPr>
        <w:ind w:left="432"/>
      </w:pPr>
      <w:r>
        <w:rPr>
          <w:b/>
        </w:rPr>
        <w:t>(d) Seed capital only.</w:t>
      </w:r>
      <w:r>
        <w:t xml:space="preserve"> This Section 6 applies solely to Undeployed Seed Capital. It does not extend to Gross Revenue, to the proceeds of any subsequent financing, to any dividend or distribution, or to any other asset of the Company, and in no event may aggregate amounts returned under this Section 6 exceed the aggregate Investment Amounts of the Investors.</w:t>
      </w:r>
    </w:p>
    <w:p>
      <w:pPr>
        <w:ind w:left="432"/>
      </w:pPr>
      <w:r>
        <w:rPr>
          <w:b/>
        </w:rPr>
        <w:t>(e) Effect.</w:t>
      </w:r>
      <w:r>
        <w:t xml:space="preserve"> A return of capital under this Section 6 is a return of capital only. It reduces each Investor’s Investment Amount dollar-for-dollar, with such Investor’s Preferred Return recomputed accordingly, and does not cancel, reduce or otherwise affect any Investor’s Shares or percentage ownership of the Company.</w:t>
      </w:r>
    </w:p>
    <w:p>
      <w:pPr>
        <w:spacing w:before="200"/>
      </w:pPr>
      <w:r>
        <w:rPr>
          <w:b/>
        </w:rPr>
        <w:t>7. Expense</w:t>
      </w:r>
      <w:r>
        <w:t xml:space="preserve"> Policy. The Company has adopted, and shall maintain in effect for so long as any portion of the Investors’ Investment Amounts remains outstanding, the Expense &amp; Travel Policy attached hereto as Exhibit A. The Company shall not make any material amendment to, or grant any material waiver of, that policy without the prior written approval of the Investor Representative for so long as any portion of the Investors’ Investment Amounts remains outstanding.</w:t>
      </w:r>
    </w:p>
    <w:p>
      <w:pPr>
        <w:spacing w:before="200"/>
      </w:pPr>
      <w:r>
        <w:rPr>
          <w:b/>
        </w:rPr>
        <w:t>8. Termination. This Agreement shall automatically terminate upon the earliest of (i) the date on which the Investors have received aggregate Preferential Payments equal to their respective Preferred Returns, (ii) payment in full pursuant to Section 4, and (iii) the mutual agreement of the parties hereto. Sections 5(c), 12 and 13 survive termination.</w:t>
      </w:r>
    </w:p>
    <w:p>
      <w:pPr>
        <w:spacing w:before="200"/>
      </w:pPr>
      <w:r>
        <w:rPr>
          <w:b/>
        </w:rPr>
        <w:t>9. Further</w:t>
      </w:r>
      <w:r>
        <w:t xml:space="preserve"> Assurances. The parties hereto shall execute and deliver such other documents, certificates, agreements and other writings and take such other actions as may be necessary or desirable in order to consummate or implement expeditiously the transactions contemplated by this Agreement.</w:t>
      </w:r>
    </w:p>
    <w:p>
      <w:pPr>
        <w:spacing w:before="200"/>
      </w:pPr>
      <w:r>
        <w:rPr>
          <w:b/>
        </w:rPr>
        <w:t>10. Amendment and</w:t>
      </w:r>
      <w:r>
        <w:t xml:space="preserve"> Modification.</w:t>
      </w:r>
    </w:p>
    <w:p>
      <w:pPr>
        <w:ind w:left="432"/>
      </w:pPr>
      <w:r>
        <w:t>(a) Except as provided in Section 10(b), this Agreement may not be amended, modified, or supplemented except by a written agreement executed by the Company and Investors holding a majority of the Shares then subject to this Agreement, and any such amendment shall bind all Investors.</w:t>
      </w:r>
    </w:p>
    <w:p>
      <w:pPr>
        <w:ind w:left="432"/>
      </w:pPr>
      <w:r>
        <w:t>(b) Notwithstanding Section 10(a), no amendment, modification, waiver or supplement shall be effective as against any Investor without that Investor’s prior written consent if it would (i) reduce, delay, subordinate or otherwise adversely affect such Investor’s Preferential Payments, Preferred Return, Investment Amount, or the priority or timing of payments to such Investor; (ii) adversely affect such Investor’s rights under Section 6; or (iii) affect such Investor in a manner that is disproportionate and adverse relative to the other Investors. This Section 10(b) may not itself be amended without the written consent of each Investor.</w:t>
      </w:r>
    </w:p>
    <w:p>
      <w:pPr>
        <w:spacing w:before="200"/>
      </w:pPr>
      <w:r>
        <w:rPr>
          <w:b/>
        </w:rPr>
        <w:t>11. Assignment. The rights and obligations arising under this Agreement may not be assigned by any party without the written consent of the other parties.</w:t>
      </w:r>
    </w:p>
    <w:p>
      <w:pPr>
        <w:spacing w:before="200"/>
      </w:pPr>
      <w:r>
        <w:rPr>
          <w:b/>
        </w:rPr>
        <w:t>12. Governing</w:t>
      </w:r>
      <w:r>
        <w:t xml:space="preserve"> Law. This Agreement shall be governed by and construed in accordance with the laws of the State of Delaware, without regard to its conflicts of laws principles.</w:t>
      </w:r>
    </w:p>
    <w:p>
      <w:pPr>
        <w:spacing w:before="200"/>
      </w:pPr>
      <w:r>
        <w:rPr>
          <w:b/>
        </w:rPr>
        <w:t>13. Counterparts. This Agreement may be executed simultaneously in one or more counterparts, and by the parties hereto in separate counterparts, each of which when executed will be deemed an original, but all of which taken together will constitute one and the same instrument.</w:t>
      </w:r>
    </w:p>
    <w:p>
      <w:r>
        <w:t>[Remainder of page intentionally left blank]</w:t>
      </w:r>
    </w:p>
    <w:p>
      <w:r>
        <w:t>IN WITNESS WHEREOF, the parties hereto have executed this Side Letter Agreement as of the date first above written.</w:t>
      </w:r>
    </w:p>
    <w:p>
      <w:r>
        <w:t>INVESTORS:</w:t>
      </w:r>
    </w:p>
    <w:p>
      <w:r>
        <w:t>[ENTITY NAME]</w:t>
      </w:r>
    </w:p>
    <w:p>
      <w:r>
        <w:t>__________________________________________ By: Name: Title:</w:t>
      </w:r>
    </w:p>
    <w:p>
      <w:r>
        <w:t>INVESTOR REPRESENTATIVE: (solely for purposes of Sections 5, 6, 7 and 10(b))</w:t>
      </w:r>
    </w:p>
    <w:p>
      <w:r>
        <w:t>__________________________________________ Ankur Jain</w:t>
      </w:r>
    </w:p>
    <w:p>
      <w:r>
        <w:t>CLASS B STOCKHOLDER (solely for purposes of Section 1(e)):</w:t>
      </w:r>
    </w:p>
    <w:p>
      <w:r>
        <w:t>__________________________________________ Norman de Silva</w:t>
      </w:r>
    </w:p>
    <w:p>
      <w:r>
        <w:t>COMPANY:</w:t>
      </w:r>
    </w:p>
    <w:p>
      <w:r>
        <w:t>CINDERELLA CORP __________________________________________ By:</w:t>
      </w:r>
    </w:p>
    <w:p>
      <w:r>
        <w:t>Name: Norman de Silva</w:t>
      </w:r>
    </w:p>
    <w:p>
      <w:r>
        <w:t>Title: President &amp; Founder</w:t>
      </w:r>
    </w:p>
    <w:p>
      <w:r>
        <w:t>EXHIBIT A</w:t>
      </w:r>
    </w:p>
    <w:p>
      <w:r>
        <w:t>EXPENSE &amp; TRAVEL POLICY</w:t>
      </w:r>
    </w:p>
    <w:p>
      <w:pPr>
        <w:spacing w:before="0" w:after="280"/>
        <w:jc w:val="center"/>
      </w:pPr>
      <w:r>
        <w:rPr>
          <w:b w:val="0"/>
          <w:i/>
          <w:sz w:val="20"/>
        </w:rPr>
        <w:t>Cinderella Corp., a Delaware corporation</w:t>
      </w:r>
    </w:p>
    <w:p>
      <w:pPr>
        <w:spacing w:before="80" w:after="120"/>
      </w:pPr>
      <w:r>
        <w:rPr>
          <w:b/>
          <w:sz w:val="23"/>
        </w:rPr>
        <w:t>1.  Purpose and Scope</w:t>
      </w:r>
    </w:p>
    <w:p>
      <w:pPr>
        <w:spacing w:before="0" w:after="160"/>
        <w:jc w:val="both"/>
      </w:pPr>
      <w:r>
        <w:rPr>
          <w:b w:val="0"/>
          <w:i w:val="0"/>
          <w:sz w:val="21"/>
        </w:rPr>
        <w:t>This policy applies to all founders, employees, contractors, advisers and other persons seeking payment or reimbursement from Cinderella Corp. (the “Company”). Company-paid expenses must be reasonable, business-related, properly documented and consistent with this policy.</w:t>
      </w:r>
    </w:p>
    <w:p>
      <w:pPr>
        <w:spacing w:before="0" w:after="160"/>
        <w:jc w:val="both"/>
      </w:pPr>
      <w:r>
        <w:rPr>
          <w:b/>
          <w:sz w:val="21"/>
        </w:rPr>
        <w:t xml:space="preserve">1.1  Entities not covered.  </w:t>
      </w:r>
      <w:r>
        <w:rPr>
          <w:b w:val="0"/>
          <w:i w:val="0"/>
          <w:sz w:val="21"/>
        </w:rPr>
        <w:t>This policy does not apply to any special purpose vehicle, project entity or other entity in which the Company holds an interest but which has its own governing agreement and other equity holders. Expenditure by any such entity is governed by that entity’s own operating agreement and budget.</w:t>
      </w:r>
    </w:p>
    <w:p>
      <w:pPr>
        <w:spacing w:before="0" w:after="160"/>
        <w:jc w:val="both"/>
      </w:pPr>
      <w:r>
        <w:rPr>
          <w:b/>
          <w:sz w:val="21"/>
        </w:rPr>
        <w:t xml:space="preserve">1.2  Compensation excluded.  </w:t>
      </w:r>
      <w:r>
        <w:rPr>
          <w:b w:val="0"/>
          <w:i w:val="0"/>
          <w:sz w:val="21"/>
        </w:rPr>
        <w:t>This policy governs expenses and reimbursements. It does not apply to compensation, including salary, wages, bonuses, equity compensation or contractor fees, which are governed by the applicable individual agreements and by the Board of Directors.</w:t>
      </w:r>
    </w:p>
    <w:p>
      <w:pPr>
        <w:spacing w:before="0" w:after="160"/>
        <w:jc w:val="both"/>
      </w:pPr>
      <w:r>
        <w:rPr>
          <w:b/>
          <w:sz w:val="21"/>
        </w:rPr>
        <w:t xml:space="preserve">1.3  Definitions.  </w:t>
      </w:r>
      <w:r>
        <w:rPr>
          <w:b w:val="0"/>
          <w:i w:val="0"/>
          <w:sz w:val="21"/>
        </w:rPr>
        <w:t>“Investor Representative” means the person then serving in that capacity under the Side Letter Agreement dated [____], 2026. Approvals required of the Investor Representative under this policy may be given by email.</w:t>
      </w:r>
    </w:p>
    <w:p>
      <w:pPr>
        <w:spacing w:before="0" w:after="160"/>
        <w:jc w:val="both"/>
      </w:pPr>
      <w:r>
        <w:rPr>
          <w:b w:val="0"/>
          <w:i w:val="0"/>
          <w:sz w:val="21"/>
        </w:rPr>
        <w:t>“Approved Budget” means the Company’s then-current operating budget as approved by the Board of Directors. An expenditure is “within the Approved Budget” if it falls within a line item of the Approved Budget and does not cause that line item to be exceeded.</w:t>
      </w:r>
    </w:p>
    <w:p>
      <w:pPr>
        <w:spacing w:before="280" w:after="120"/>
      </w:pPr>
      <w:r>
        <w:rPr>
          <w:b/>
          <w:sz w:val="23"/>
        </w:rPr>
        <w:t>2.  Air Travel</w:t>
      </w:r>
    </w:p>
    <w:p>
      <w:pPr>
        <w:spacing w:before="0" w:after="160"/>
        <w:ind w:left="360"/>
        <w:jc w:val="both"/>
      </w:pPr>
      <w:r>
        <w:rPr>
          <w:b w:val="0"/>
          <w:i w:val="0"/>
          <w:sz w:val="21"/>
        </w:rPr>
        <w:t>Until one hundred percent (100%) of Seed investor capital has been returned to investors, all Company-paid flights must be booked in coach/economy class.</w:t>
      </w:r>
    </w:p>
    <w:p>
      <w:pPr>
        <w:spacing w:before="0" w:after="160"/>
        <w:ind w:left="360"/>
        <w:jc w:val="both"/>
      </w:pPr>
      <w:r>
        <w:rPr>
          <w:b w:val="0"/>
          <w:i w:val="0"/>
          <w:sz w:val="21"/>
        </w:rPr>
        <w:t>Following the earlier of (a) return of 100% of Seed investor capital, (b) the closing of a Series A or later preferred financing, or (c) the closing of a definitive distribution agreement with a major streaming or distribution platform:</w:t>
      </w:r>
    </w:p>
    <w:p>
      <w:pPr>
        <w:spacing w:before="0" w:after="60"/>
        <w:ind w:left="792"/>
        <w:jc w:val="both"/>
      </w:pPr>
      <w:r>
        <w:rPr>
          <w:b w:val="0"/>
          <w:i w:val="0"/>
          <w:sz w:val="21"/>
        </w:rPr>
        <w:t>•  scheduled flight time of 4 hours or less: coach/economy;</w:t>
      </w:r>
    </w:p>
    <w:p>
      <w:pPr>
        <w:spacing w:before="0" w:after="60"/>
        <w:ind w:left="792"/>
        <w:jc w:val="both"/>
      </w:pPr>
      <w:r>
        <w:rPr>
          <w:b w:val="0"/>
          <w:i w:val="0"/>
          <w:sz w:val="21"/>
        </w:rPr>
        <w:t>•  more than 4 hours and up to 7 hours: premium economy;</w:t>
      </w:r>
    </w:p>
    <w:p>
      <w:pPr>
        <w:spacing w:before="0" w:after="60"/>
        <w:ind w:left="792"/>
        <w:jc w:val="both"/>
      </w:pPr>
      <w:r>
        <w:rPr>
          <w:b w:val="0"/>
          <w:i w:val="0"/>
          <w:sz w:val="21"/>
        </w:rPr>
        <w:t>•  more than 7 hours: business class.</w:t>
      </w:r>
    </w:p>
    <w:p>
      <w:pPr>
        <w:spacing w:before="120" w:after="160"/>
        <w:ind w:left="360"/>
        <w:jc w:val="both"/>
      </w:pPr>
      <w:r>
        <w:rPr>
          <w:b w:val="0"/>
          <w:i w:val="0"/>
          <w:sz w:val="21"/>
        </w:rPr>
        <w:t>Travelers may use personal cash, points or miles to upgrade above the permitted class at no cost to the Company.</w:t>
      </w:r>
    </w:p>
    <w:p>
      <w:pPr>
        <w:spacing w:before="0" w:after="160"/>
        <w:ind w:left="360"/>
        <w:jc w:val="both"/>
      </w:pPr>
      <w:r>
        <w:rPr>
          <w:b w:val="0"/>
          <w:i w:val="0"/>
          <w:sz w:val="21"/>
        </w:rPr>
        <w:t>Any exception to the permitted cabin class requires the prior written approval of the Investor Representative.</w:t>
      </w:r>
    </w:p>
    <w:p>
      <w:pPr>
        <w:spacing w:before="280" w:after="120"/>
      </w:pPr>
      <w:r>
        <w:rPr>
          <w:b/>
          <w:sz w:val="23"/>
        </w:rPr>
        <w:t>3.  Lodging</w:t>
      </w:r>
    </w:p>
    <w:p>
      <w:pPr>
        <w:spacing w:before="0" w:after="160"/>
        <w:ind w:left="360"/>
        <w:jc w:val="both"/>
      </w:pPr>
      <w:r>
        <w:rPr>
          <w:b w:val="0"/>
          <w:i w:val="0"/>
          <w:sz w:val="21"/>
        </w:rPr>
        <w:t>Maximum lodging rate: $300 per night before taxes, except that in New York, San Francisco, Los Angeles, Boston, Chicago and Washington, D.C. the maximum is $450 per night before taxes. Where the U.S. General Services Administration publishes a higher per-diem lodging rate for the locality and dates of travel, that rate applies instead.</w:t>
      </w:r>
    </w:p>
    <w:p>
      <w:pPr>
        <w:spacing w:before="0" w:after="160"/>
        <w:ind w:left="360"/>
        <w:jc w:val="both"/>
      </w:pPr>
      <w:r>
        <w:rPr>
          <w:b w:val="0"/>
          <w:i w:val="0"/>
          <w:sz w:val="21"/>
        </w:rPr>
        <w:t>Any lodging above the applicable limit requires the prior written approval of the Investor Representative.</w:t>
      </w:r>
    </w:p>
    <w:p>
      <w:pPr>
        <w:spacing w:before="0" w:after="160"/>
        <w:ind w:left="360"/>
        <w:jc w:val="both"/>
      </w:pPr>
      <w:r>
        <w:rPr>
          <w:b w:val="0"/>
          <w:i w:val="0"/>
          <w:sz w:val="21"/>
        </w:rPr>
        <w:t>Personal extensions, room upgrades and other incremental personal costs are not reimbursable.</w:t>
      </w:r>
    </w:p>
    <w:p>
      <w:pPr>
        <w:spacing w:before="280" w:after="120"/>
      </w:pPr>
      <w:r>
        <w:rPr>
          <w:b/>
          <w:sz w:val="23"/>
        </w:rPr>
        <w:t>4.  Meals</w:t>
      </w:r>
    </w:p>
    <w:p>
      <w:pPr>
        <w:spacing w:before="0" w:after="160"/>
        <w:ind w:left="360"/>
        <w:jc w:val="both"/>
      </w:pPr>
      <w:r>
        <w:rPr>
          <w:b w:val="0"/>
          <w:i w:val="0"/>
          <w:sz w:val="21"/>
        </w:rPr>
        <w:t>Breakfast up to $20, lunch up to $30, and dinner up to $50, with a maximum daily meal allowance of $100 per traveler.</w:t>
      </w:r>
    </w:p>
    <w:p>
      <w:pPr>
        <w:spacing w:before="0" w:after="160"/>
        <w:ind w:left="360"/>
        <w:jc w:val="both"/>
      </w:pPr>
      <w:r>
        <w:rPr>
          <w:b w:val="0"/>
          <w:i w:val="0"/>
          <w:sz w:val="21"/>
        </w:rPr>
        <w:t>The daily maximum does not apply to a documented business-development meal with one or more third parties, provided the expense report identifies the attendees and the business purpose. Such meals remain subject to Section 5.</w:t>
      </w:r>
    </w:p>
    <w:p>
      <w:pPr>
        <w:spacing w:before="0" w:after="160"/>
        <w:ind w:left="360"/>
        <w:jc w:val="both"/>
      </w:pPr>
      <w:r>
        <w:rPr>
          <w:b w:val="0"/>
          <w:i w:val="0"/>
          <w:sz w:val="21"/>
        </w:rPr>
        <w:t>If a meal is provided by a conference, hotel, sponsor, school, investor or other third party, the corresponding meal allowance is not reimbursable.</w:t>
      </w:r>
    </w:p>
    <w:p>
      <w:pPr>
        <w:spacing w:before="0" w:after="160"/>
        <w:ind w:left="360"/>
        <w:jc w:val="both"/>
      </w:pPr>
      <w:r>
        <w:rPr>
          <w:b w:val="0"/>
          <w:i w:val="0"/>
          <w:sz w:val="21"/>
        </w:rPr>
        <w:t>Alcohol and entertainment are not reimbursable unless they are part of a bona fide business-development expense and otherwise comply with this policy.</w:t>
      </w:r>
    </w:p>
    <w:p>
      <w:pPr>
        <w:spacing w:before="280" w:after="120"/>
      </w:pPr>
      <w:r>
        <w:rPr>
          <w:b/>
          <w:sz w:val="23"/>
        </w:rPr>
        <w:t>5.  Other Business Expenses</w:t>
      </w:r>
    </w:p>
    <w:p>
      <w:pPr>
        <w:spacing w:before="0" w:after="160"/>
        <w:ind w:left="360"/>
        <w:jc w:val="both"/>
      </w:pPr>
      <w:r>
        <w:rPr>
          <w:b w:val="0"/>
          <w:i w:val="0"/>
          <w:sz w:val="21"/>
        </w:rPr>
        <w:t>Any single non-flight, non-lodging expense or commitment over five thousand dollars ($5,000) that is NOT within the Approved Budget requires the prior written approval of the Investor Representative. Expenditures within the Approved Budget do not require approval under this Section, regardless of amount.</w:t>
      </w:r>
    </w:p>
    <w:p>
      <w:pPr>
        <w:spacing w:before="0" w:after="160"/>
        <w:ind w:left="360"/>
        <w:jc w:val="both"/>
      </w:pPr>
      <w:r>
        <w:rPr>
          <w:b w:val="0"/>
          <w:i w:val="0"/>
          <w:sz w:val="21"/>
        </w:rPr>
        <w:t>A series of related expenditures to a single vendor within any ninety (90) day period is treated as a single expenditure for purposes of this Section.</w:t>
      </w:r>
    </w:p>
    <w:p>
      <w:pPr>
        <w:spacing w:before="0" w:after="160"/>
        <w:ind w:left="360"/>
        <w:jc w:val="both"/>
      </w:pPr>
      <w:r>
        <w:rPr>
          <w:b w:val="0"/>
          <w:i w:val="0"/>
          <w:sz w:val="21"/>
        </w:rPr>
        <w:t>This Section applies to entertainment, consultants, vendors, subscriptions, equipment, event costs, gifts, marketing and other business-development expenditures. It does not apply to fees of the Company’s outside legal counsel, accountants or other professional advisers engaged with Board approval, or to insurance premiums, taxes, statutory filing fees or other amounts the Company is legally obligated to pay.</w:t>
      </w:r>
    </w:p>
    <w:p>
      <w:pPr>
        <w:spacing w:before="0" w:after="160"/>
        <w:ind w:left="360"/>
        <w:jc w:val="both"/>
      </w:pPr>
      <w:r>
        <w:rPr>
          <w:b w:val="0"/>
          <w:i w:val="0"/>
          <w:sz w:val="21"/>
        </w:rPr>
        <w:t>Reasonable ground transportation, parking, tolls and similar travel expenses are reimbursable when incurred for Company business.</w:t>
      </w:r>
    </w:p>
    <w:p>
      <w:pPr>
        <w:spacing w:before="280" w:after="120"/>
      </w:pPr>
      <w:r>
        <w:rPr>
          <w:b/>
          <w:sz w:val="23"/>
        </w:rPr>
        <w:t>6.  Documentation and Reimbursement</w:t>
      </w:r>
    </w:p>
    <w:p>
      <w:pPr>
        <w:spacing w:before="0" w:after="80"/>
        <w:ind w:left="360"/>
        <w:jc w:val="both"/>
      </w:pPr>
      <w:r>
        <w:rPr>
          <w:b w:val="0"/>
          <w:i w:val="0"/>
          <w:sz w:val="21"/>
        </w:rPr>
        <w:t>•  Receipts or other reasonable supporting documentation are required for reimbursement.</w:t>
      </w:r>
    </w:p>
    <w:p>
      <w:pPr>
        <w:spacing w:before="0" w:after="80"/>
        <w:ind w:left="360"/>
        <w:jc w:val="both"/>
      </w:pPr>
      <w:r>
        <w:rPr>
          <w:b w:val="0"/>
          <w:i w:val="0"/>
          <w:sz w:val="21"/>
        </w:rPr>
        <w:t>•  Expense reports should identify the business purpose and, for business-development meals or entertainment, the attendees.</w:t>
      </w:r>
    </w:p>
    <w:p>
      <w:pPr>
        <w:spacing w:before="0" w:after="80"/>
        <w:ind w:left="360"/>
        <w:jc w:val="both"/>
      </w:pPr>
      <w:r>
        <w:rPr>
          <w:b w:val="0"/>
          <w:i w:val="0"/>
          <w:sz w:val="21"/>
        </w:rPr>
        <w:t>•  Reimbursement requests should be submitted within 30 days after the expense is incurred whenever practicable.</w:t>
      </w:r>
    </w:p>
    <w:p>
      <w:pPr>
        <w:spacing w:before="0" w:after="80"/>
        <w:ind w:left="360"/>
        <w:jc w:val="both"/>
      </w:pPr>
      <w:r>
        <w:rPr>
          <w:b w:val="0"/>
          <w:i w:val="0"/>
          <w:sz w:val="21"/>
        </w:rPr>
        <w:t>•  Personal expenses are not reimbursable.</w:t>
      </w:r>
    </w:p>
    <w:p>
      <w:pPr>
        <w:spacing w:before="280" w:after="120"/>
      </w:pPr>
      <w:r>
        <w:rPr>
          <w:b/>
          <w:sz w:val="23"/>
        </w:rPr>
        <w:t>7.  Exceptions and Amendments</w:t>
      </w:r>
    </w:p>
    <w:p>
      <w:pPr>
        <w:spacing w:before="0" w:after="160"/>
        <w:ind w:left="360"/>
        <w:jc w:val="both"/>
      </w:pPr>
      <w:r>
        <w:rPr>
          <w:b w:val="0"/>
          <w:i w:val="0"/>
          <w:sz w:val="21"/>
        </w:rPr>
        <w:t>No person may approve his or her own exception to this policy.</w:t>
      </w:r>
    </w:p>
    <w:p>
      <w:pPr>
        <w:spacing w:before="0" w:after="160"/>
        <w:ind w:left="360"/>
        <w:jc w:val="both"/>
      </w:pPr>
      <w:r>
        <w:rPr>
          <w:b w:val="0"/>
          <w:i w:val="0"/>
          <w:sz w:val="21"/>
        </w:rPr>
        <w:t>Any exception requiring approval under this policy must be approved in advance by the Investor Representative. Approval or rejection shall be given within three (3) business days of a written request; a request not responded to within that period is deemed approved.</w:t>
      </w:r>
    </w:p>
    <w:p>
      <w:pPr>
        <w:spacing w:before="0" w:after="160"/>
        <w:ind w:left="360"/>
        <w:jc w:val="both"/>
      </w:pPr>
      <w:r>
        <w:rPr>
          <w:b w:val="0"/>
          <w:i w:val="0"/>
          <w:sz w:val="21"/>
        </w:rPr>
        <w:t>Until the earlier of the events described in Section 2, any material amendment to this policy requires the written approval of both the Chief Executive Officer and the Investor Representative.</w:t>
      </w:r>
    </w:p>
    <w:p>
      <w:pPr>
        <w:spacing w:before="0" w:after="160"/>
        <w:ind w:left="360"/>
        <w:jc w:val="both"/>
      </w:pPr>
      <w:r>
        <w:rPr>
          <w:b w:val="0"/>
          <w:i w:val="0"/>
          <w:sz w:val="21"/>
        </w:rPr>
        <w:t>This policy terminates automatically upon the earlier of the events described in Section 2, after which Company expenditure is governed by the Board of Directors.</w:t>
      </w:r>
    </w:p>
    <w:p>
      <w:pPr>
        <w:spacing w:before="360" w:after="160"/>
        <w:jc w:val="both"/>
      </w:pPr>
      <w:r>
        <w:rPr>
          <w:b w:val="0"/>
          <w:i w:val="0"/>
          <w:sz w:val="21"/>
        </w:rPr>
        <w:t>Adopted:  ____________________</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