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STRATEGIC ADVISER AGREEMENT</w:t>
      </w:r>
    </w:p>
    <w:p>
      <w:pPr>
        <w:jc w:val="center"/>
      </w:pPr>
      <w:r>
        <w:rPr>
          <w:i/>
          <w:color w:val="666666"/>
          <w:sz w:val="17"/>
        </w:rPr>
        <w:t>Revised 2026-10-07 — incorporating Adviser’s 2026-10-07 comments</w:t>
      </w:r>
    </w:p>
    <w:p/>
    <w:p>
      <w:r>
        <w:t>This Strategic Adviser Agreement (this “Agreement”) is entered into as of ______, 2026 (the “Effective Date”) by and between Cinderella Corp., a Delaware corporation (the “Company”), and Ankur Jain (“Adviser”).</w:t>
      </w:r>
    </w:p>
    <w:p>
      <w:pPr>
        <w:spacing w:before="200"/>
      </w:pPr>
      <w:r>
        <w:rPr>
          <w:b/>
        </w:rPr>
        <w:t>0. CONDITION PRECEDENT — OUTSIDE BUSINESS ACTIVITY (OBA) APPROVAL 0.1 Tabor approval. Notwithstanding anything else, no title, services, fundraising participation, investor meetings, use of Adviser’s name, distributor outreach, or board activity under this Agreement is authorized or effective until Adviser has obtained and delivered written outside-business-activity approval from Tabor Asset Management (“OBA Approval”).</w:t>
      </w:r>
    </w:p>
    <w:p>
      <w:r>
        <w:rPr>
          <w:b/>
        </w:rPr>
        <w:t>0.2 Continuing condition.</w:t>
      </w:r>
      <w:r>
        <w:t xml:space="preserve"> OBA Approval must remain in effect. If it is withdrawn, limited, or conditioned, the affected activities are suspended until restored; the Company may suspend or terminate under Section 10. Adviser will operate at all times within the scope of his OBA Approval.</w:t>
      </w:r>
    </w:p>
    <w:p>
      <w:pPr>
        <w:spacing w:before="200"/>
      </w:pPr>
      <w:r>
        <w:rPr>
          <w:b/>
        </w:rPr>
        <w:t>1. SERVICES AND ROLE 1.1 Role. Adviser serves as a non-exclusive Strategic Adviser, providing: (a) advice on financial structure, valuation, and capital formation; (b) strategic input on the Company's financial presentation as set forth in Section 1.2; (c) participation in PE/investor and distributor meetings (subject to OBA Approval and Section 1.5); and (d) introductions across his network.</w:t>
      </w:r>
    </w:p>
    <w:p>
      <w:r>
        <w:rPr>
          <w:b/>
        </w:rPr>
        <w:t>1.2 Financial presentation — consultation; no approval or review duty.</w:t>
      </w:r>
      <w:r>
        <w:t xml:space="preserve"> The Company will consult Adviser in good faith on the Company's financial presentation, valuation, financing structure and proposed investor terms, and Adviser may provide strategic input as he considers appropriate. Adviser has no duty to review, approve, verify, audit or monitor any financial materials, model, assumption, valuation or investor term, and no right of approval over any of them. Responsibility for the preparation, accuracy and completeness of the Company's financial materials rests with the Company, its Board of Directors and the accounting firm retained under Section 1.4. Adviser's participation in, or receipt of, any materials does not constitute approval, verification or endorsement of them, and his silence or non-response does not constitute approval.</w:t>
      </w:r>
    </w:p>
    <w:p>
      <w:r>
        <w:rPr>
          <w:b/>
        </w:rPr>
        <w:t>1.3 No condition; no remedy.</w:t>
      </w:r>
      <w:r>
        <w:t xml:space="preserve"> The consultation contemplated by Section 1.2 is a covenant of the Company only. It is not a condition precedent to any financing, issuance of securities, acceptance of any subscription, or any other corporate action, and no failure to consult shall invalidate, delay or give rise to any claim in respect of any such action. The issuance of securities, the consideration for which they are issued, and the acceptance of any subscription remain matters for determination by the Board under the Delaware General Corporation Law, the Company's Certificate of Incorporation and its Bylaws.</w:t>
      </w:r>
    </w:p>
    <w:p>
      <w:r>
        <w:rPr>
          <w:b/>
        </w:rPr>
        <w:t>1.4 Accounting firm; no accounting role.</w:t>
      </w:r>
      <w:r>
        <w:t xml:space="preserve"> The Company will retain, at its own expense, a qualified certified public accounting firm to review the accounting, financial statements, and underlying financial accuracy of the Company’s investor materials. The firm will be selected by Adviser, within an annual budget agreed by the Company and Adviser. For the avoidance of doubt, Adviser does not act as, and has no duties of, a chief financial officer, controller, certified public accountant or accounting professional; Adviser does not prepare, audit, review or certify the Company’s accounting records, financial statements or the accounting accuracy of any financial model or investor material, and has no liability for any of them. Responsibility for the accounting accuracy of the Company’s financial statements and investor materials rests with the Company and that firm.</w:t>
      </w:r>
    </w:p>
    <w:p>
      <w:r>
        <w:rPr>
          <w:b/>
        </w:rPr>
        <w:t>1.5 Limits; no broker.</w:t>
      </w:r>
      <w:r>
        <w:t xml:space="preserve"> Adviser is not an officer, director, employee, or agent, has no authority to bind the Company, will not execute or sign agreements on its behalf, and is not engaged as a broker, finder, or placement agent; no compensation under this Agreement is contingent on the sale of securities or on the size or closing of any financing.</w:t>
      </w:r>
    </w:p>
    <w:p>
      <w:r>
        <w:rPr>
          <w:b/>
        </w:rPr>
        <w:t>1.6 Non-exclusive.</w:t>
      </w:r>
      <w:r>
        <w:t xml:space="preserve"> Adviser may continue Tabor and his other activities, subject to OBA Approval and Sections 6–8.</w:t>
      </w:r>
    </w:p>
    <w:p>
      <w:pPr>
        <w:spacing w:before="200"/>
      </w:pPr>
      <w:r>
        <w:rPr>
          <w:b/>
        </w:rPr>
        <w:t>2. COMPENSATION — EQUITY ONLY; NO CASH 2.1 Role Equity — 4%, fully vested. The Company will grant Adviser restricted Class A Common Stock equal to four percent (4%) of the Company (the “Role Shares”), measured and adjusted per Sections 2.4 and 2.5, which shall be fully vested as of the Effective Date and not subject to any repurchase option for unvested shares. The Role Shares compensate the advisory role and are not contingent on any financing.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Qualifying Platform</w:t>
            </w:r>
          </w:p>
        </w:tc>
        <w:tc>
          <w:tcPr>
            <w:tcW w:type="dxa" w:w="1872"/>
          </w:tcPr>
          <w:p>
            <w:pPr>
              <w:spacing w:after="40"/>
            </w:pPr>
            <w:r/>
            <w:r>
              <w:rPr>
                <w:b/>
                <w:sz w:val="18"/>
              </w:rPr>
              <w:t>Meeting (25%)</w:t>
            </w:r>
          </w:p>
        </w:tc>
        <w:tc>
          <w:tcPr>
            <w:tcW w:type="dxa" w:w="1872"/>
          </w:tcPr>
          <w:p>
            <w:pPr>
              <w:spacing w:after="40"/>
            </w:pPr>
            <w:r/>
            <w:r>
              <w:rPr>
                <w:b/>
                <w:sz w:val="18"/>
              </w:rPr>
              <w:t>Term sheet (25%)</w:t>
            </w:r>
          </w:p>
        </w:tc>
        <w:tc>
          <w:tcPr>
            <w:tcW w:type="dxa" w:w="1872"/>
          </w:tcPr>
          <w:p>
            <w:pPr>
              <w:spacing w:after="40"/>
            </w:pPr>
            <w:r/>
            <w:r>
              <w:rPr>
                <w:b/>
                <w:sz w:val="18"/>
              </w:rPr>
              <w:t>Definitive (50%)</w:t>
            </w:r>
          </w:p>
        </w:tc>
        <w:tc>
          <w:tcPr>
            <w:tcW w:type="dxa" w:w="1872"/>
          </w:tcPr>
          <w:p>
            <w:pPr>
              <w:spacing w:after="40"/>
            </w:pPr>
            <w:r/>
            <w:r>
              <w:rPr>
                <w:b/>
                <w:sz w:val="18"/>
              </w:rPr>
              <w:t>Total</w:t>
            </w:r>
          </w:p>
        </w:tc>
      </w:tr>
      <w:tr>
        <w:tc>
          <w:tcPr>
            <w:tcW w:type="dxa" w:w="1872"/>
          </w:tcPr>
          <w:p>
            <w:pPr>
              <w:spacing w:after="40"/>
            </w:pPr>
            <w:r/>
            <w:r>
              <w:rPr>
                <w:sz w:val="18"/>
              </w:rPr>
              <w:t>Netflix</w:t>
            </w:r>
          </w:p>
        </w:tc>
        <w:tc>
          <w:tcPr>
            <w:tcW w:type="dxa" w:w="1872"/>
          </w:tcPr>
          <w:p>
            <w:pPr>
              <w:spacing w:after="40"/>
            </w:pPr>
            <w:r/>
            <w:r>
              <w:rPr>
                <w:sz w:val="18"/>
              </w:rPr>
              <w:t>1.25%</w:t>
            </w:r>
          </w:p>
        </w:tc>
        <w:tc>
          <w:tcPr>
            <w:tcW w:type="dxa" w:w="1872"/>
          </w:tcPr>
          <w:p>
            <w:pPr>
              <w:spacing w:after="40"/>
            </w:pPr>
            <w:r/>
            <w:r>
              <w:rPr>
                <w:sz w:val="18"/>
              </w:rPr>
              <w:t>1.25%</w:t>
            </w:r>
          </w:p>
        </w:tc>
        <w:tc>
          <w:tcPr>
            <w:tcW w:type="dxa" w:w="1872"/>
          </w:tcPr>
          <w:p>
            <w:pPr>
              <w:spacing w:after="40"/>
            </w:pPr>
            <w:r/>
            <w:r>
              <w:rPr>
                <w:sz w:val="18"/>
              </w:rPr>
              <w:t>2.50%</w:t>
            </w:r>
          </w:p>
        </w:tc>
        <w:tc>
          <w:tcPr>
            <w:tcW w:type="dxa" w:w="1872"/>
          </w:tcPr>
          <w:p>
            <w:pPr>
              <w:spacing w:after="40"/>
            </w:pPr>
            <w:r/>
            <w:r>
              <w:rPr>
                <w:sz w:val="18"/>
              </w:rPr>
              <w:t>5.00%</w:t>
            </w:r>
          </w:p>
        </w:tc>
      </w:tr>
      <w:tr>
        <w:tc>
          <w:tcPr>
            <w:tcW w:type="dxa" w:w="1872"/>
          </w:tcPr>
          <w:p>
            <w:pPr>
              <w:spacing w:after="40"/>
            </w:pPr>
            <w:r/>
            <w:r>
              <w:rPr>
                <w:sz w:val="18"/>
              </w:rPr>
              <w:t>Apple</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Amazon Prime Video</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Disney / Hulu / ESPN</w:t>
            </w:r>
          </w:p>
        </w:tc>
        <w:tc>
          <w:tcPr>
            <w:tcW w:type="dxa" w:w="1872"/>
          </w:tcPr>
          <w:p>
            <w:pPr>
              <w:spacing w:after="40"/>
            </w:pPr>
            <w:r/>
            <w:r>
              <w:rPr>
                <w:sz w:val="18"/>
              </w:rPr>
              <w:t>0.875%</w:t>
            </w:r>
          </w:p>
        </w:tc>
        <w:tc>
          <w:tcPr>
            <w:tcW w:type="dxa" w:w="1872"/>
          </w:tcPr>
          <w:p>
            <w:pPr>
              <w:spacing w:after="40"/>
            </w:pPr>
            <w:r/>
            <w:r>
              <w:rPr>
                <w:sz w:val="18"/>
              </w:rPr>
              <w:t>0.875%</w:t>
            </w:r>
          </w:p>
        </w:tc>
        <w:tc>
          <w:tcPr>
            <w:tcW w:type="dxa" w:w="1872"/>
          </w:tcPr>
          <w:p>
            <w:pPr>
              <w:spacing w:after="40"/>
            </w:pPr>
            <w:r/>
            <w:r>
              <w:rPr>
                <w:sz w:val="18"/>
              </w:rPr>
              <w:t>1.75%</w:t>
            </w:r>
          </w:p>
        </w:tc>
        <w:tc>
          <w:tcPr>
            <w:tcW w:type="dxa" w:w="1872"/>
          </w:tcPr>
          <w:p>
            <w:pPr>
              <w:spacing w:after="40"/>
            </w:pPr>
            <w:r/>
            <w:r>
              <w:rPr>
                <w:sz w:val="18"/>
              </w:rPr>
              <w:t>3.50%</w:t>
            </w:r>
          </w:p>
        </w:tc>
      </w:tr>
      <w:tr>
        <w:tc>
          <w:tcPr>
            <w:tcW w:type="dxa" w:w="1872"/>
          </w:tcPr>
          <w:p>
            <w:pPr>
              <w:spacing w:after="40"/>
            </w:pPr>
            <w:r/>
            <w:r>
              <w:rPr>
                <w:sz w:val="18"/>
              </w:rPr>
              <w:t>All other Qualifying Platforms</w:t>
            </w:r>
          </w:p>
        </w:tc>
        <w:tc>
          <w:tcPr>
            <w:tcW w:type="dxa" w:w="1872"/>
          </w:tcPr>
          <w:p>
            <w:pPr>
              <w:spacing w:after="40"/>
            </w:pPr>
            <w:r/>
            <w:r>
              <w:rPr>
                <w:sz w:val="18"/>
              </w:rPr>
              <w:t>0.25%</w:t>
            </w:r>
          </w:p>
        </w:tc>
        <w:tc>
          <w:tcPr>
            <w:tcW w:type="dxa" w:w="1872"/>
          </w:tcPr>
          <w:p>
            <w:pPr>
              <w:spacing w:after="40"/>
            </w:pPr>
            <w:r/>
            <w:r>
              <w:rPr>
                <w:sz w:val="18"/>
              </w:rPr>
              <w:t>0.25%</w:t>
            </w:r>
          </w:p>
        </w:tc>
        <w:tc>
          <w:tcPr>
            <w:tcW w:type="dxa" w:w="1872"/>
          </w:tcPr>
          <w:p>
            <w:pPr>
              <w:spacing w:after="40"/>
            </w:pPr>
            <w:r/>
            <w:r>
              <w:rPr>
                <w:sz w:val="18"/>
              </w:rPr>
              <w:t>0.50%</w:t>
            </w:r>
          </w:p>
        </w:tc>
        <w:tc>
          <w:tcPr>
            <w:tcW w:type="dxa" w:w="1872"/>
          </w:tcPr>
          <w:p>
            <w:pPr>
              <w:spacing w:after="40"/>
            </w:pPr>
            <w:r/>
            <w:r>
              <w:rPr>
                <w:sz w:val="18"/>
              </w:rPr>
              <w:t>1.00%</w:t>
            </w:r>
          </w:p>
        </w:tc>
      </w:tr>
    </w:tbl>
    <w:p/>
    <w:p>
      <w:pPr>
        <w:ind w:left="432"/>
      </w:pPr>
      <w:r>
        <w:rPr>
          <w:b/>
        </w:rPr>
        <w:t>(b) Milestones.</w:t>
      </w:r>
      <w:r>
        <w:t xml:space="preserve"> For each Qualifying Platform: (i) the first tranche vests upon a senior-level meeting with that platform, directly resulting from Adviser’s introduction; (ii) the second tranche vests upon a qualifying term sheet from that platform; and (iii) the third tranche vests upon a definitive rights agreement with that platform together with receipt by the Company of the initial guaranteed payment.</w:t>
      </w:r>
    </w:p>
    <w:p>
      <w:pPr>
        <w:ind w:left="432"/>
      </w:pPr>
      <w:r>
        <w:rPr>
          <w:b/>
        </w:rPr>
        <w:t>(c) Aggregate cap.</w:t>
      </w:r>
      <w:r>
        <w:t xml:space="preserve"> Milestone equity may be earned with respect to more than one Qualifying Platform, provided that aggregate milestone equity granted under this Section 2.2 shall not exceed five percent (5%) of the Company.</w:t>
      </w:r>
    </w:p>
    <w:p>
      <w:pPr>
        <w:ind w:left="432"/>
      </w:pPr>
      <w:r>
        <w:rPr>
          <w:b/>
        </w:rPr>
        <w:t>(d) Attribution.</w:t>
      </w:r>
      <w:r>
        <w:t xml:space="preserve"> Adviser shall give the Company written notice identifying each introduction at the time it is made. A milestone is attributable to Adviser only where such notice was given, or where the Company otherwise confirms attribution in writing.</w:t>
      </w:r>
    </w:p>
    <w:p>
      <w:pPr>
        <w:ind w:left="432"/>
      </w:pPr>
      <w:r>
        <w:rPr>
          <w:b/>
        </w:rPr>
        <w:t>(e) Measurement.</w:t>
      </w:r>
      <w:r>
        <w:t xml:space="preserve"> Each tranche of milestone equity is measured on the Company’s fully-diluted capitalization as of the date the applicable milestone is achieved, and is subject to ordinary, pro-rata dilution thereafter. The Top-Up Shares under Section 2.4 apply only to the Role Shares and not to milestone equity.</w:t>
      </w:r>
    </w:p>
    <w:p>
      <w:r>
        <w:rPr>
          <w:b/>
        </w:rPr>
        <w:t>2.3 Tail — 12 months.</w:t>
      </w:r>
      <w:r>
        <w:t xml:space="preserve"> If Adviser introduces or materially advances a relationship with a Qualifying Platform during the term, Adviser remains eligible for the corresponding milestone equity if the applicable term sheet or definitive agreement is completed within twelve (12) months after termination of this Agreement, provided Adviser was not terminated for material breach or loss of OBA Approval.</w:t>
      </w:r>
    </w:p>
    <w:p>
      <w:r>
        <w:rPr>
          <w:b/>
        </w:rPr>
        <w:t>2.4 Seed Round top-up.</w:t>
      </w:r>
      <w:r>
        <w:t xml:space="preserve"> The Role Shares are issued on the Effective Date in a number equal to four percent (4%) of the Company’s fully-diluted capitalization as of that date. At the closing of the Seed Round, the Company shall issue to Adviser, for no additional consideration, such number of additional shares of Class A Common Stock as is necessary so that the Role Shares represent four percent (4%) of the Company’s fully- diluted capitalization immediately following that closing (the “Top-Up Shares”). The Top-Up Shares are fully vested on issuance, are treated as Role Shares for all purposes of this Agreement, and are issued without further action by or approval of the Board. Based on the Company’s capitalization as of the date of this Agreement, the parties expect the Role Shares to be 166,667 shares and the Top-Up Shares to be approximately 30,864 shares, for a post-Seed total of approximately 197,531 shares; the actual numbers are those required to produce four percent (4%) and are subject to rounding.</w:t>
      </w:r>
    </w:p>
    <w:p>
      <w:r>
        <w:rPr>
          <w:b/>
        </w:rPr>
        <w:t>2.5 Anti-dilution — Seed Round only.</w:t>
      </w:r>
      <w:r>
        <w:t xml:space="preserve"> Adviser's equity is measured on the fully-diluted capitalization immediately after completion of the Seed Round, as and when completed and whatever its final size, price and structure, so the Seed Round does not dilute Adviser. After the Seed Round is complete, Adviser's shares are subject to ordinary, pro-rata dilution on the same basis as the Founder on all subsequent issuances — no further anti-dilution protection. This post-Seed measurement is specific to Adviser and is not a precedent for any other grant.</w:t>
      </w:r>
    </w:p>
    <w:p>
      <w:r>
        <w:rPr>
          <w:b/>
        </w:rPr>
        <w:t>2.6 Class A only.</w:t>
      </w:r>
      <w:r>
        <w:t xml:space="preserve"> All shares are Class A Common (1 vote per share); Adviser does not receive Class B or any super-voting stock, which is held solely by Norman C. de Silva.</w:t>
      </w:r>
    </w:p>
    <w:p>
      <w:r>
        <w:rPr>
          <w:b/>
        </w:rPr>
        <w:t>2.7 Mechanics; tax.</w:t>
      </w:r>
      <w:r>
        <w:t xml:space="preserve"> Issued as restricted stock under the Company's Restricted Stock Purchase Agreement and subject to the Stockholders' Agreement. The Role Shares and any milestone shares are fully vested on issuance and accordingly an election under Section 83(b) of the Internal Revenue Code is inapplicable to them; Adviser should consult his own tax advisor as to the treatment of each grant.</w:t>
      </w:r>
    </w:p>
    <w:p>
      <w:r>
        <w:rPr>
          <w:b/>
        </w:rPr>
        <w:t>2.8 No cash.</w:t>
      </w:r>
      <w:r>
        <w:t xml:space="preserve"> No cash fees, salary, or bonus are payable.</w:t>
      </w:r>
    </w:p>
    <w:p>
      <w:pPr>
        <w:spacing w:before="200"/>
      </w:pPr>
      <w:r>
        <w:rPr>
          <w:b/>
        </w:rPr>
        <w:t>3. GOVERNANCE AND INFORMATION 3.1 Board observer. Adviser may attend all meetings of the Board in a non-voting observer capacity and shall receive copies of all materials provided to directors, at the same time they are provided. The Company may exclude the observer from any portion of a meeting, and withhold any material, where the Board determines in good faith that doing so is necessary to preserve attorney-client privilege, to address an actual or potential conflict of interest involving Adviser, or to protect highly confidential information.</w:t>
      </w:r>
    </w:p>
    <w:p>
      <w:r>
        <w:rPr>
          <w:b/>
        </w:rPr>
        <w:t>3.2 Automatic Board seat on Board expansion.</w:t>
      </w:r>
      <w:r>
        <w:t xml:space="preserve"> Upon the appointment or election of any additional director — that is, at such time as any person other than the Founder becomes a director of the Company — Adviser shall automatically and concurrently be appointed to the Board as a director, without further action or discretion on the part of the Company or the Founder. Adviser may decline the seat and elect to continue as an observer under Section 3.1, in which case the right to take the seat continues and may be exercised at any later time on written notice.</w:t>
      </w:r>
    </w:p>
    <w:p>
      <w:r>
        <w:rPr>
          <w:b/>
        </w:rPr>
        <w:t>3.3 Information rights.</w:t>
      </w:r>
      <w:r>
        <w:t xml:space="preserve"> Annual and quarterly financial statements, the annual budget, and material financing updates.</w:t>
      </w:r>
    </w:p>
    <w:p>
      <w:r>
        <w:rPr>
          <w:b/>
        </w:rPr>
        <w:t>3.4 Expense reimbursement.</w:t>
      </w:r>
      <w:r>
        <w:t xml:space="preserve"> Reasonable, pre-approved expenses reimbursed on receipts, per Company expense policy.</w:t>
      </w:r>
    </w:p>
    <w:p>
      <w:pPr>
        <w:spacing w:before="200"/>
      </w:pPr>
      <w:r>
        <w:rPr>
          <w:b/>
        </w:rPr>
        <w:t>4. INDEMNIFICATION AND INSURANCE 4.1 Indemnification. The Company will indemnify, defend and hold harmless Adviser, and advance his reasonable expenses, to the fullest extent permitted by Delaware law, in respect of his authorized services, his Board observer or director role, and his role as Investor Representative, including any claim brought by an investor in respect of good-faith actions taken as Investor Representative.</w:t>
      </w:r>
    </w:p>
    <w:p>
      <w:r>
        <w:rPr>
          <w:b/>
        </w:rPr>
        <w:t>4.2 Exclusions.</w:t>
      </w:r>
      <w:r>
        <w:t xml:space="preserve"> No indemnity is available for bad faith, willful misconduct, gross negligence, or breach of this Agreement, and advancement is conditioned on an undertaking to repay amounts advanced if it is ultimately determined that Adviser was not entitled to indemnification.</w:t>
      </w:r>
    </w:p>
    <w:p>
      <w:r>
        <w:rPr>
          <w:b/>
        </w:rPr>
        <w:t>4.3 D&amp;O insurance.</w:t>
      </w:r>
      <w:r>
        <w:t xml:space="preserve"> The Company shall obtain directors' and officers' liability insurance on or before the closing of the Seed Round, and shall cause Adviser to be covered under that policy expressly in his capacities as Board observer or director and as Investor Representative. The Company shall provide Adviser with the policy's coverage limits and material terms upon request. The Company represents that, as of the Effective Date, it does not maintain such insurance.</w:t>
      </w:r>
    </w:p>
    <w:p>
      <w:pPr>
        <w:spacing w:before="200"/>
      </w:pPr>
      <w:r>
        <w:rPr>
          <w:b/>
        </w:rPr>
        <w:t>5. NAME, IMAGE, AND LIKENESS</w:t>
      </w:r>
      <w:r>
        <w:t xml:space="preserve"> The Company may use Adviser’s name, image, and biography only with his prior approval and within OBA limits; approvals for a given use, once given, extend to substantially similar uses.</w:t>
      </w:r>
    </w:p>
    <w:p>
      <w:pPr>
        <w:spacing w:before="200"/>
      </w:pPr>
      <w:r>
        <w:rPr>
          <w:b/>
        </w:rPr>
        <w:t>6. CONFIDENTIALITY</w:t>
      </w:r>
      <w:r>
        <w:t xml:space="preserve"> Adviser will hold all non-public Company information in confidence and use it only for the Company’s benefit. This obligation does not apply to information that is or becomes public other than through Adviser’s breach, or that Adviser is required to disclose by law, provided he gives the Company prompt notice where lawful to do so.</w:t>
      </w:r>
    </w:p>
    <w:p>
      <w:pPr>
        <w:spacing w:before="200"/>
      </w:pPr>
      <w:r>
        <w:rPr>
          <w:b/>
        </w:rPr>
        <w:t>7. INTELLECTUAL PROPERTY</w:t>
      </w:r>
      <w:r>
        <w:t xml:space="preserve"> Work product Adviser creates for or delivers to the Company is assigned to the Company. Adviser’s pre- existing and independent business IP, including Tabor’s, remains his.</w:t>
      </w:r>
    </w:p>
    <w:p>
      <w:pPr>
        <w:spacing w:before="200"/>
      </w:pPr>
      <w:r>
        <w:rPr>
          <w:b/>
        </w:rPr>
        <w:t>8. NON-CIRCUMVENTION 8.1 Restricted Project. A “Restricted Project” means any business, venture, production or project that (i) pairs one or more celebrities, public figures, athletes or prominent alumni with one or more collegiate athletic programs for the purpose of financing, capitalizing or materially supporting that program and producing, licensing or distributing documentary or similar audiovisual content concerning it, or (ii) is otherwise substantially similar to the Company’s Making Cinderella format.</w:t>
      </w:r>
    </w:p>
    <w:p>
      <w:r>
        <w:rPr>
          <w:b/>
        </w:rPr>
        <w:t>8.2 Restriction.</w:t>
      </w:r>
      <w:r>
        <w:t xml:space="preserve"> During the term and for twelve (12) months thereafter, Adviser will not, using the Company’s confidential information or an opportunity originated by the Company, circumvent the Company with respect to any Restricted Project, nor solicit Company personnel.</w:t>
      </w:r>
    </w:p>
    <w:p>
      <w:r>
        <w:rPr>
          <w:b/>
        </w:rPr>
        <w:t>8.3 Relationships expressly unrestricted.</w:t>
      </w:r>
      <w:r>
        <w:t xml:space="preserve"> Nothing in this Agreement restricts Adviser from initiating, continuing or maintaining any relationship with any person or entity, whenever and however that relationship arose. For the avoidance of doubt, Section 8.2 does not apply to: (a) people and organizations Adviser knew or had relationships with prior to his involvement with the Company; (b) Tabor-related activity; (c) relationships independently developed outside the Company; (d) Adviser’s existing investments and business activities; or (e) parties who approach Adviser independently without use of the Company’s confidential information.</w:t>
      </w:r>
    </w:p>
    <w:p>
      <w:pPr>
        <w:spacing w:before="200"/>
      </w:pPr>
      <w:r>
        <w:rPr>
          <w:b/>
        </w:rPr>
        <w:t>9. INDEPENDENT CONTRACTOR</w:t>
      </w:r>
      <w:r>
        <w:t xml:space="preserve"> Independent contractor; responsible for his own taxes; no employee benefits; no partnership or employment relationship created.</w:t>
      </w:r>
    </w:p>
    <w:p>
      <w:pPr>
        <w:spacing w:before="200"/>
      </w:pPr>
      <w:r>
        <w:rPr>
          <w:b/>
        </w:rPr>
        <w:t>10. TERM AND TERMINATION 10.1 Term. From the Effective Date until terminated.</w:t>
      </w:r>
    </w:p>
    <w:p>
      <w:r>
        <w:rPr>
          <w:b/>
        </w:rPr>
        <w:t>10.2 Termination.</w:t>
      </w:r>
      <w:r>
        <w:t xml:space="preserve"> Either party may terminate on thirty (30) days’ notice, or immediately for material breach or loss of OBA Approval. On termination: the Role Shares, being fully vested, are retained; unearned milestone equity is forfeited, subject to Section 2.3; and all shares remain subject to the Stockholders’ Agreement. Sections 4 and 6–8 survive.</w:t>
      </w:r>
    </w:p>
    <w:p>
      <w:pPr>
        <w:spacing w:before="200"/>
      </w:pPr>
      <w:r>
        <w:rPr>
          <w:b/>
        </w:rPr>
        <w:t>11. GENERAL</w:t>
      </w:r>
      <w:r>
        <w:t xml:space="preserve"> Delaware law governs, without regard to conflicts of law principles; the Court of Chancery of the State of Delaware has exclusive jurisdiction. This Agreement, together with the Restricted Stock Purchase Agreement and the Stockholders’ Agreement, constitutes the entire agreement as to its subject matter. Amendments in writing signed by both parties. Adviser may not assign. Counterparts and electronic signature permitted. If any provision is held unenforceable, the remainder continues in full force.</w:t>
      </w:r>
    </w:p>
    <w:p>
      <w:r>
        <w:t>[Remainder of page intentionally left blank]</w:t>
      </w:r>
    </w:p>
    <w:p>
      <w:r>
        <w:t>IN WITNESS WHEREOF, the parties have executed this Strategic Adviser Agreement as of the date first above written.</w:t>
      </w:r>
    </w:p>
    <w:p>
      <w:r>
        <w:t>COMPANY:</w:t>
      </w:r>
    </w:p>
    <w:p>
      <w:r>
        <w:t>CINDERELLA CORP. ______________________________________________</w:t>
      </w:r>
    </w:p>
    <w:p>
      <w:r>
        <w:t>Name: Norman C. de Silva</w:t>
      </w:r>
    </w:p>
    <w:p>
      <w:r>
        <w:t>Title: Founder &amp; Chief Executive Officer</w:t>
      </w:r>
    </w:p>
    <w:p>
      <w:r>
        <w:t>Date: _________________________________________</w:t>
      </w:r>
    </w:p>
    <w:p>
      <w:r>
        <w:t>ADVISER:</w:t>
      </w:r>
    </w:p>
    <w:p>
      <w:r>
        <w:t>______________________________________________ Ankur Jain</w:t>
      </w:r>
    </w:p>
    <w:p>
      <w:r>
        <w:t>Date:__________________________________________</w:t>
      </w:r>
    </w:p>
    <w:p>
      <w:r>
        <w:t>Address for notices: ______________________________</w:t>
      </w:r>
    </w:p>
    <w:p>
      <w:r>
        <w:t>_______________________________________________</w:t>
      </w:r>
    </w:p>
    <w:p>
      <w:r>
        <w:t>Email: ankur08@gmail.com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