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ormorant Garamond" w:cs="Cormorant Garamond" w:eastAsia="Cormorant Garamond" w:hAnsi="Cormorant Garamond"/>
          <w:b/>
          <w:bCs/>
          <w:sz w:val="40"/>
          <w:szCs w:val="40"/>
        </w:rPr>
        <w:t xml:space="preserve">Cinderella Corp.</w:t>
      </w:r>
    </w:p>
    <w:p>
      <w:pPr>
        <w:pBdr>
          <w:bottom w:val="single" w:color="333333" w:sz="6" w:space="6"/>
        </w:pBdr>
        <w:spacing w:after="60"/>
        <w:jc w:val="center"/>
      </w:pPr>
      <w:r>
        <w:rPr>
          <w:rFonts w:ascii="Garamond" w:cs="Garamond" w:eastAsia="Garamond" w:hAnsi="Garamond"/>
          <w:b/>
          <w:bCs/>
          <w:caps/>
          <w:spacing w:val="24"/>
          <w:sz w:val="25"/>
          <w:szCs w:val="25"/>
        </w:rPr>
        <w:t xml:space="preserve">NIL / Rev-Share Structuring Principles</w:t>
      </w:r>
    </w:p>
    <w:p>
      <w:pPr>
        <w:spacing w:after="220" w:before="60"/>
        <w:jc w:val="center"/>
      </w:pPr>
      <w:r>
        <w:rPr>
          <w:rFonts w:ascii="Garamond" w:cs="Garamond" w:eastAsia="Garamond" w:hAnsi="Garamond"/>
          <w:i/>
          <w:iCs/>
          <w:color w:val="555555"/>
          <w:sz w:val="17"/>
          <w:szCs w:val="17"/>
        </w:rPr>
        <w:t xml:space="preserve">For counsel review — Loeb &amp; Loeb (Brian Socolow) · 2026-07-24</w:t>
      </w:r>
    </w:p>
    <w:p>
      <w:pPr>
        <w:spacing w:after="140" w:before="0" w:line="268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Context. </w:t>
      </w:r>
      <w:r>
        <w:rPr>
          <w:rFonts w:ascii="Garamond" w:cs="Garamond" w:eastAsia="Garamond" w:hAnsi="Garamond"/>
          <w:sz w:val="21"/>
          <w:szCs w:val="21"/>
        </w:rPr>
        <w:t xml:space="preserve">Cinderella Corp ("MC") funds third-party NIL for a school’s basketball roster (via a per-school SPV) while separately earning a commercial revenue share from operating that school’s commercial rights and producing a documentary series. We want your read on whether the principles below hold up against (a) NCAA institutional-control and tampering rules and (b) the House settlement’s cap-circumvention / "associated entity" enforcement by the College Sports Commission. Where they don’t, we want the edits that make them hold.</w:t>
      </w:r>
    </w:p>
    <w:p>
      <w:pPr>
        <w:spacing w:after="120" w:before="240"/>
      </w:pPr>
      <w:r>
        <w:rPr>
          <w:rFonts w:ascii="Garamond" w:cs="Garamond" w:eastAsia="Garamond" w:hAnsi="Garamond"/>
          <w:b/>
          <w:bCs/>
          <w:color w:val="1F3352"/>
          <w:spacing w:val="10"/>
          <w:sz w:val="23"/>
          <w:szCs w:val="23"/>
        </w:rPr>
        <w:t xml:space="preserve">A.  Independence (MC is not an "associated entity")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1.  </w:t>
      </w:r>
      <w:r>
        <w:rPr>
          <w:rFonts w:ascii="Garamond" w:cs="Garamond" w:eastAsia="Garamond" w:hAnsi="Garamond"/>
          <w:sz w:val="21"/>
          <w:szCs w:val="21"/>
        </w:rPr>
        <w:t xml:space="preserve">MC is an independent commercial enterprise — its own IP, franchise, and documentary business — not controlled by, and not a booster vehicle of, any school.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2.  </w:t>
      </w:r>
      <w:r>
        <w:rPr>
          <w:rFonts w:ascii="Garamond" w:cs="Garamond" w:eastAsia="Garamond" w:hAnsi="Garamond"/>
          <w:sz w:val="21"/>
          <w:szCs w:val="21"/>
        </w:rPr>
        <w:t xml:space="preserve">No school appoints, directs, or holds equity giving control over MC or any SPV.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3.  </w:t>
      </w:r>
      <w:r>
        <w:rPr>
          <w:rFonts w:ascii="Garamond" w:cs="Garamond" w:eastAsia="Garamond" w:hAnsi="Garamond"/>
          <w:sz w:val="21"/>
          <w:szCs w:val="21"/>
        </w:rPr>
        <w:t xml:space="preserve">MC’s capital is mixed-source at the parent level (not single-school donor money).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4.  </w:t>
      </w:r>
      <w:r>
        <w:rPr>
          <w:rFonts w:ascii="Garamond" w:cs="Garamond" w:eastAsia="Garamond" w:hAnsi="Garamond"/>
          <w:sz w:val="21"/>
          <w:szCs w:val="21"/>
        </w:rPr>
        <w:t xml:space="preserve">MC documents its commercial substance (productions, sponsors, merch, media rights) contemporaneously, anticipating a possible "associated entity" challenge.</w:t>
      </w:r>
    </w:p>
    <w:p>
      <w:pPr>
        <w:spacing w:after="120" w:before="240"/>
      </w:pPr>
      <w:r>
        <w:rPr>
          <w:rFonts w:ascii="Garamond" w:cs="Garamond" w:eastAsia="Garamond" w:hAnsi="Garamond"/>
          <w:b/>
          <w:bCs/>
          <w:color w:val="1F3352"/>
          <w:spacing w:val="10"/>
          <w:sz w:val="23"/>
          <w:szCs w:val="23"/>
        </w:rPr>
        <w:t xml:space="preserve">B.  Institutional control (the school runs its team)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5.  </w:t>
      </w:r>
      <w:r>
        <w:rPr>
          <w:rFonts w:ascii="Garamond" w:cs="Garamond" w:eastAsia="Garamond" w:hAnsi="Garamond"/>
          <w:sz w:val="21"/>
          <w:szCs w:val="21"/>
        </w:rPr>
        <w:t xml:space="preserve">MC sets an NIL budget and makes NIL deals available; it does not select the roster.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6.  </w:t>
      </w:r>
      <w:r>
        <w:rPr>
          <w:rFonts w:ascii="Garamond" w:cs="Garamond" w:eastAsia="Garamond" w:hAnsi="Garamond"/>
          <w:sz w:val="21"/>
          <w:szCs w:val="21"/>
        </w:rPr>
        <w:t xml:space="preserve">The coach/AD decide recruiting and playing time; the player decides whether to sign. MC funds opportunity, not roster spots.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7.  </w:t>
      </w:r>
      <w:r>
        <w:rPr>
          <w:rFonts w:ascii="Garamond" w:cs="Garamond" w:eastAsia="Garamond" w:hAnsi="Garamond"/>
          <w:sz w:val="21"/>
          <w:szCs w:val="21"/>
        </w:rPr>
        <w:t xml:space="preserve">Decision authority is papered so the school can decline any MC-funded deal without penalty.</w:t>
      </w:r>
    </w:p>
    <w:p>
      <w:pPr>
        <w:spacing w:after="120" w:before="240"/>
      </w:pPr>
      <w:r>
        <w:rPr>
          <w:rFonts w:ascii="Garamond" w:cs="Garamond" w:eastAsia="Garamond" w:hAnsi="Garamond"/>
          <w:b/>
          <w:bCs/>
          <w:color w:val="1F3352"/>
          <w:spacing w:val="10"/>
          <w:sz w:val="23"/>
          <w:szCs w:val="23"/>
        </w:rPr>
        <w:t xml:space="preserve">C.  No tampering / no inducement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8.  </w:t>
      </w:r>
      <w:r>
        <w:rPr>
          <w:rFonts w:ascii="Garamond" w:cs="Garamond" w:eastAsia="Garamond" w:hAnsi="Garamond"/>
          <w:sz w:val="21"/>
          <w:szCs w:val="21"/>
        </w:rPr>
        <w:t xml:space="preserve">MC engages only players already enrolled or committed to the contracted school.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9.  </w:t>
      </w:r>
      <w:r>
        <w:rPr>
          <w:rFonts w:ascii="Garamond" w:cs="Garamond" w:eastAsia="Garamond" w:hAnsi="Garamond"/>
          <w:sz w:val="21"/>
          <w:szCs w:val="21"/>
        </w:rPr>
        <w:t xml:space="preserve">No cross-school steering — MC never moves a player between MC schools; SPVs operate at arm’s length behind information walls.</w:t>
      </w:r>
    </w:p>
    <w:p>
      <w:pPr>
        <w:spacing w:after="120" w:before="240"/>
      </w:pPr>
      <w:r>
        <w:rPr>
          <w:rFonts w:ascii="Garamond" w:cs="Garamond" w:eastAsia="Garamond" w:hAnsi="Garamond"/>
          <w:b/>
          <w:bCs/>
          <w:color w:val="1F3352"/>
          <w:spacing w:val="10"/>
          <w:sz w:val="23"/>
          <w:szCs w:val="23"/>
        </w:rPr>
        <w:t xml:space="preserve">D.  Two independent streams (the anti-circumvention core)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10.  </w:t>
      </w:r>
      <w:r>
        <w:rPr>
          <w:rFonts w:ascii="Garamond" w:cs="Garamond" w:eastAsia="Garamond" w:hAnsi="Garamond"/>
          <w:sz w:val="21"/>
          <w:szCs w:val="21"/>
        </w:rPr>
        <w:t xml:space="preserve">Stream A — MC → players: third-party NIL for genuine services (documentary appearances, sponsor activations, merchandise, likeness), priced at fair market value, clearing NIL Go on its own merits. Funded from production + sponsor + MC capital.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11.  </w:t>
      </w:r>
      <w:r>
        <w:rPr>
          <w:rFonts w:ascii="Garamond" w:cs="Garamond" w:eastAsia="Garamond" w:hAnsi="Garamond"/>
          <w:sz w:val="21"/>
          <w:szCs w:val="21"/>
        </w:rPr>
        <w:t xml:space="preserve">Stream B — school → MC: a commercial return for MC operating the school’s commercial engine, benchmarked to commercial revenue (e.g., 80% above a fixed baseline), not to roster cost.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12.  </w:t>
      </w:r>
      <w:r>
        <w:rPr>
          <w:rFonts w:ascii="Garamond" w:cs="Garamond" w:eastAsia="Garamond" w:hAnsi="Garamond"/>
          <w:sz w:val="21"/>
          <w:szCs w:val="21"/>
        </w:rPr>
        <w:t xml:space="preserve">The two streams are not contingent on each other; Stream B is never sized by, invoiced as, or described as reimbursement of player payments. "Backfill" and "reimbursement" appear nowhere.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13.  </w:t>
      </w:r>
      <w:r>
        <w:rPr>
          <w:rFonts w:ascii="Garamond" w:cs="Garamond" w:eastAsia="Garamond" w:hAnsi="Garamond"/>
          <w:sz w:val="21"/>
          <w:szCs w:val="21"/>
        </w:rPr>
        <w:t xml:space="preserve">Timing: the roster is funded up front (production/sponsor/capital) before any school rev-share is due; rev-share arrives after revenue materializes and is demonstrably not a roster input.</w:t>
      </w:r>
    </w:p>
    <w:p>
      <w:pPr>
        <w:spacing w:after="120" w:before="240"/>
      </w:pPr>
      <w:r>
        <w:rPr>
          <w:rFonts w:ascii="Garamond" w:cs="Garamond" w:eastAsia="Garamond" w:hAnsi="Garamond"/>
          <w:b/>
          <w:bCs/>
          <w:color w:val="1F3352"/>
          <w:spacing w:val="10"/>
          <w:sz w:val="23"/>
          <w:szCs w:val="23"/>
        </w:rPr>
        <w:t xml:space="preserve">E.  Enterprise fungibility (breaks the pass-through)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14.  </w:t>
      </w:r>
      <w:r>
        <w:rPr>
          <w:rFonts w:ascii="Garamond" w:cs="Garamond" w:eastAsia="Garamond" w:hAnsi="Garamond"/>
          <w:sz w:val="21"/>
          <w:szCs w:val="21"/>
        </w:rPr>
        <w:t xml:space="preserve">School rev-share is enterprise profit, redeployed across the portfolio (other SPVs / next cohort) and to investors — no dollar of a school’s rev-share is earmarked to its own players.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15.  </w:t>
      </w:r>
      <w:r>
        <w:rPr>
          <w:rFonts w:ascii="Garamond" w:cs="Garamond" w:eastAsia="Garamond" w:hAnsi="Garamond"/>
          <w:sz w:val="21"/>
          <w:szCs w:val="21"/>
        </w:rPr>
        <w:t xml:space="preserve">MC operates as a genuine multi-school business; no 1:1 mapping exists between any school’s rev-share and its own roster spend.</w:t>
      </w:r>
    </w:p>
    <w:p>
      <w:pPr>
        <w:spacing w:after="120" w:before="240"/>
      </w:pPr>
      <w:r>
        <w:rPr>
          <w:rFonts w:ascii="Garamond" w:cs="Garamond" w:eastAsia="Garamond" w:hAnsi="Garamond"/>
          <w:b/>
          <w:bCs/>
          <w:color w:val="1F3352"/>
          <w:spacing w:val="10"/>
          <w:sz w:val="23"/>
          <w:szCs w:val="23"/>
        </w:rPr>
        <w:t xml:space="preserve">F.  Conference success fee (BC-specific)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16.  </w:t>
      </w:r>
      <w:r>
        <w:rPr>
          <w:rFonts w:ascii="Garamond" w:cs="Garamond" w:eastAsia="Garamond" w:hAnsi="Garamond"/>
          <w:sz w:val="21"/>
          <w:szCs w:val="21"/>
        </w:rPr>
        <w:t xml:space="preserve">Any fee indexed to a school’s conference (ACC) distribution is a services fee paid from the school’s general funds, not an assignment of NCAA/ACC media rights.</w:t>
      </w:r>
    </w:p>
    <w:p>
      <w:pPr>
        <w:spacing w:after="120" w:before="240"/>
      </w:pPr>
      <w:r>
        <w:rPr>
          <w:rFonts w:ascii="Garamond" w:cs="Garamond" w:eastAsia="Garamond" w:hAnsi="Garamond"/>
          <w:b/>
          <w:bCs/>
          <w:color w:val="1F3352"/>
          <w:spacing w:val="10"/>
          <w:sz w:val="23"/>
          <w:szCs w:val="23"/>
        </w:rPr>
        <w:t xml:space="preserve">G.  Norman’s role — evaluator/mentor, not checkbook, employee, or recruiter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17.  </w:t>
      </w:r>
      <w:r>
        <w:rPr>
          <w:rFonts w:ascii="Garamond" w:cs="Garamond" w:eastAsia="Garamond" w:hAnsi="Garamond"/>
          <w:sz w:val="21"/>
          <w:szCs w:val="21"/>
        </w:rPr>
        <w:t xml:space="preserve">Owner stays external. While Norman holds an MC economic interest, he does not take a school-employee role at any MC school. He operates at the MC/parent level, external and even-handed across schools.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18.  </w:t>
      </w:r>
      <w:r>
        <w:rPr>
          <w:rFonts w:ascii="Garamond" w:cs="Garamond" w:eastAsia="Garamond" w:hAnsi="Garamond"/>
          <w:sz w:val="21"/>
          <w:szCs w:val="21"/>
        </w:rPr>
        <w:t xml:space="preserve">Not employed by multiple MC schools simultaneously (divided loyalty; breaks the anti-steering wall; undermines independence). Title (consultant vs GM) is irrelevant.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19.  </w:t>
      </w:r>
      <w:r>
        <w:rPr>
          <w:rFonts w:ascii="Garamond" w:cs="Garamond" w:eastAsia="Garamond" w:hAnsi="Garamond"/>
          <w:sz w:val="21"/>
          <w:szCs w:val="21"/>
        </w:rPr>
        <w:t xml:space="preserve">Evaluator/checkbook separation — Norman is walled off from comp-setting/pricing. This is an institutional-control + conduct measure; it does NOT insulate Norman from being a principal/booster of the entity paying players (he is one, which is permitted). The payment defense rests on FMV + independence + school control, not on the firewall.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20.  </w:t>
      </w:r>
      <w:r>
        <w:rPr>
          <w:rFonts w:ascii="Garamond" w:cs="Garamond" w:eastAsia="Garamond" w:hAnsi="Garamond"/>
          <w:sz w:val="21"/>
          <w:szCs w:val="21"/>
        </w:rPr>
        <w:t xml:space="preserve">Mentorship permitted, bounded. Norman may serve as a sanctioned, disclosed advisor/mentor to enrolled student-athletes (game, mindset, NBA/draft development, performance) — expertise and time, not benefits. He does not: (a) contact not-yet-committed prospects; (b) act as players’ agent for compensation; (c) tie marketability guidance to specific comp or use it as an inducement.</w:t>
      </w:r>
    </w:p>
    <w:p>
      <w:pPr>
        <w:spacing w:after="120" w:before="240"/>
      </w:pPr>
      <w:r>
        <w:rPr>
          <w:rFonts w:ascii="Garamond" w:cs="Garamond" w:eastAsia="Garamond" w:hAnsi="Garamond"/>
          <w:b/>
          <w:bCs/>
          <w:color w:val="1F3352"/>
          <w:spacing w:val="10"/>
          <w:sz w:val="23"/>
          <w:szCs w:val="23"/>
        </w:rPr>
        <w:t xml:space="preserve">H.  Documentary depiction firewall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21.  </w:t>
      </w:r>
      <w:r>
        <w:rPr>
          <w:rFonts w:ascii="Garamond" w:cs="Garamond" w:eastAsia="Garamond" w:hAnsi="Garamond"/>
          <w:sz w:val="21"/>
          <w:szCs w:val="21"/>
        </w:rPr>
        <w:t xml:space="preserve">On-screen role = evaluator / storyteller / mentor (talent, NBA projection, development, futures).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22.  </w:t>
      </w:r>
      <w:r>
        <w:rPr>
          <w:rFonts w:ascii="Garamond" w:cs="Garamond" w:eastAsia="Garamond" w:hAnsi="Garamond"/>
          <w:sz w:val="21"/>
          <w:szCs w:val="21"/>
        </w:rPr>
        <w:t xml:space="preserve">Never depicted: pricing players in a way tied to pay, directing the staff’s roster or pay decisions, or any compensation mechanism.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23.  </w:t>
      </w:r>
      <w:r>
        <w:rPr>
          <w:rFonts w:ascii="Garamond" w:cs="Garamond" w:eastAsia="Garamond" w:hAnsi="Garamond"/>
          <w:sz w:val="21"/>
          <w:szCs w:val="21"/>
        </w:rPr>
        <w:t xml:space="preserve">MC reserves approval over how Norman’s role is portrayed; compliance counsel reads the cut before release (the edit must match the legal structure).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24.  </w:t>
      </w:r>
      <w:r>
        <w:rPr>
          <w:rFonts w:ascii="Garamond" w:cs="Garamond" w:eastAsia="Garamond" w:hAnsi="Garamond"/>
          <w:sz w:val="21"/>
          <w:szCs w:val="21"/>
        </w:rPr>
        <w:t xml:space="preserve">No recruiting involvement, even indirectly. Neither Norman nor the celebrity evaluates or opines on specific unsigned prospects — even if the staff shares its target list first. Anyone paid by MC / holding SPV equity is a rep of athletics interests and is barred from recruiting; the permissible lane is general team-building philosophy, with the staff mapping philosophy to names privately.</w:t>
      </w:r>
    </w:p>
    <w:p>
      <w:pPr>
        <w:spacing w:after="120" w:before="240"/>
      </w:pPr>
      <w:r>
        <w:rPr>
          <w:rFonts w:ascii="Garamond" w:cs="Garamond" w:eastAsia="Garamond" w:hAnsi="Garamond"/>
          <w:b/>
          <w:bCs/>
          <w:color w:val="1F3352"/>
          <w:spacing w:val="10"/>
          <w:sz w:val="23"/>
          <w:szCs w:val="23"/>
        </w:rPr>
        <w:t xml:space="preserve">Questions for counsel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1.  </w:t>
      </w:r>
      <w:r>
        <w:rPr>
          <w:rFonts w:ascii="Garamond" w:cs="Garamond" w:eastAsia="Garamond" w:hAnsi="Garamond"/>
          <w:sz w:val="21"/>
          <w:szCs w:val="21"/>
        </w:rPr>
        <w:t xml:space="preserve">Do Principles D + E defeat a cap-circumvention / associated-entity claim, or does the commercial rev-share (Stream B) itself risk re-characterization as disguised roster funding? What contract language best insulates it?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2.  </w:t>
      </w:r>
      <w:r>
        <w:rPr>
          <w:rFonts w:ascii="Garamond" w:cs="Garamond" w:eastAsia="Garamond" w:hAnsi="Garamond"/>
          <w:sz w:val="21"/>
          <w:szCs w:val="21"/>
        </w:rPr>
        <w:t xml:space="preserve">What contemporaneous documentation best establishes MC’s independence (A) against the CSC’s current aggressive "associated entity" posture?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3.  </w:t>
      </w:r>
      <w:r>
        <w:rPr>
          <w:rFonts w:ascii="Garamond" w:cs="Garamond" w:eastAsia="Garamond" w:hAnsi="Garamond"/>
          <w:sz w:val="21"/>
          <w:szCs w:val="21"/>
        </w:rPr>
        <w:t xml:space="preserve">Is the budget-not-roster framing (B) sufficient for institutional control, or do we need specific decision-rights language in the school agreement?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4.  </w:t>
      </w:r>
      <w:r>
        <w:rPr>
          <w:rFonts w:ascii="Garamond" w:cs="Garamond" w:eastAsia="Garamond" w:hAnsi="Garamond"/>
          <w:sz w:val="21"/>
          <w:szCs w:val="21"/>
        </w:rPr>
        <w:t xml:space="preserve">Does the multi-school structure create tampering/antitrust exposure beyond single-school, and how do the information walls (C) need to be papered?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5.  </w:t>
      </w:r>
      <w:r>
        <w:rPr>
          <w:rFonts w:ascii="Garamond" w:cs="Garamond" w:eastAsia="Garamond" w:hAnsi="Garamond"/>
          <w:sz w:val="21"/>
          <w:szCs w:val="21"/>
        </w:rPr>
        <w:t xml:space="preserve">Is the conference services fee (F) clean under ACC bylaws and NCAA rules?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6.  </w:t>
      </w:r>
      <w:r>
        <w:rPr>
          <w:rFonts w:ascii="Garamond" w:cs="Garamond" w:eastAsia="Garamond" w:hAnsi="Garamond"/>
          <w:sz w:val="21"/>
          <w:szCs w:val="21"/>
        </w:rPr>
        <w:t xml:space="preserve">Dual role (the crux): given Norman owns MC, is any school-employee/consultant role at an MC school salvageable, or must he stay entirely external (17–18)? What ownership/recusal facts would change the answer?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7.  </w:t>
      </w:r>
      <w:r>
        <w:rPr>
          <w:rFonts w:ascii="Garamond" w:cs="Garamond" w:eastAsia="Garamond" w:hAnsi="Garamond"/>
          <w:sz w:val="21"/>
          <w:szCs w:val="21"/>
        </w:rPr>
        <w:t xml:space="preserve">Where exactly is the line between permissible mentorship of enrolled players and an impermissible extra benefit or inducement (20)? What sanctioning/disclosure by the school best protects it?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8.  </w:t>
      </w:r>
      <w:r>
        <w:rPr>
          <w:rFonts w:ascii="Garamond" w:cs="Garamond" w:eastAsia="Garamond" w:hAnsi="Garamond"/>
          <w:sz w:val="21"/>
          <w:szCs w:val="21"/>
        </w:rPr>
        <w:t xml:space="preserve">What contract terms secure MC’s approval over on-screen depiction (H) and a compliance read of the cut, without EverWonder/streamer resistance killing it?</w:t>
      </w:r>
    </w:p>
    <w:p>
      <w:pPr>
        <w:spacing w:after="140" w:before="200" w:line="268"/>
        <w:jc w:val="both"/>
      </w:pPr>
      <w:r>
        <w:rPr>
          <w:rFonts w:ascii="Garamond" w:cs="Garamond" w:eastAsia="Garamond" w:hAnsi="Garamond"/>
          <w:i/>
          <w:iCs/>
          <w:color w:val="555555"/>
          <w:sz w:val="21"/>
          <w:szCs w:val="21"/>
        </w:rPr>
        <w:t xml:space="preserve">All figures/structures illustrative. This is a position to test, not a representation of current operations.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6"/>
      </w:pBdr>
      <w:jc w:val="center"/>
    </w:pPr>
    <w:r>
      <w:rPr>
        <w:rFonts w:ascii="Garamond" w:cs="Garamond" w:eastAsia="Garamond" w:hAnsi="Garamond"/>
        <w:color w:val="888888"/>
        <w:sz w:val="15"/>
        <w:szCs w:val="15"/>
      </w:rPr>
      <w:t xml:space="preserve">Cinderella Corp. — Structuring Principles   ·   NOT legal advice   ·   Page </w:t>
    </w:r>
    <w:r>
      <w:rPr>
        <w:rFonts w:ascii="Garamond" w:cs="Garamond" w:eastAsia="Garamond" w:hAnsi="Garamond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Garamond" w:cs="Garamond" w:eastAsia="Garamond" w:hAnsi="Garamond"/>
        <w:color w:val="888888"/>
        <w:sz w:val="15"/>
        <w:szCs w:val="15"/>
      </w:rPr>
      <w:t xml:space="preserve"> of </w:t>
    </w:r>
    <w:r>
      <w:rPr>
        <w:rFonts w:ascii="Garamond" w:cs="Garamond" w:eastAsia="Garamond" w:hAnsi="Garamond"/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Cinderella Corp.</dc:creator>
  <cp:lastModifiedBy>Un-named</cp:lastModifiedBy>
  <cp:revision>1</cp:revision>
  <dcterms:created xsi:type="dcterms:W3CDTF">2026-07-24T06:58:36.628Z</dcterms:created>
  <dcterms:modified xsi:type="dcterms:W3CDTF">2026-07-24T06:58:36.628Z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