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CONFIDENTIAL — FOR DISCUSSION PURPOSES ONLY</w:t>
      </w:r>
    </w:p>
    <w:p>
      <w:pPr>
        <w:spacing w:after="80"/>
      </w:pPr>
      <w:r>
        <w:rPr>
          <w:rFonts w:ascii="Times New Roman" w:cs="Times New Roman" w:eastAsia="Times New Roman" w:hAnsi="Times New Roman"/>
          <w:b w:val="false"/>
          <w:bCs w:val="false"/>
          <w:i/>
          <w:iCs/>
          <w:sz w:val="22"/>
          <w:szCs w:val="22"/>
        </w:rPr>
        <w:t xml:space="preserve">This term sheet is a summary of proposed terms and is </w:t>
      </w:r>
      <w:r>
        <w:rPr>
          <w:rFonts w:ascii="Times New Roman" w:cs="Times New Roman" w:eastAsia="Times New Roman" w:hAnsi="Times New Roman"/>
          <w:b/>
          <w:bCs/>
          <w:i/>
          <w:iCs/>
          <w:sz w:val="22"/>
          <w:szCs w:val="22"/>
        </w:rPr>
        <w:t xml:space="preserve">not</w:t>
      </w:r>
      <w:r>
        <w:rPr>
          <w:rFonts w:ascii="Times New Roman" w:cs="Times New Roman" w:eastAsia="Times New Roman" w:hAnsi="Times New Roman"/>
          <w:b w:val="false"/>
          <w:bCs w:val="false"/>
          <w:i/>
          <w:iCs/>
          <w:sz w:val="22"/>
          <w:szCs w:val="22"/>
        </w:rPr>
        <w:t xml:space="preserve"> an offer to sell or a solicitation of an offer to buy securities, and (other than the Confidentiality provision) is </w:t>
      </w:r>
      <w:r>
        <w:rPr>
          <w:rFonts w:ascii="Times New Roman" w:cs="Times New Roman" w:eastAsia="Times New Roman" w:hAnsi="Times New Roman"/>
          <w:b/>
          <w:bCs/>
          <w:i/>
          <w:iCs/>
          <w:sz w:val="22"/>
          <w:szCs w:val="22"/>
        </w:rPr>
        <w:t xml:space="preserve">non-binding</w:t>
      </w:r>
      <w:r>
        <w:rPr>
          <w:rFonts w:ascii="Times New Roman" w:cs="Times New Roman" w:eastAsia="Times New Roman" w:hAnsi="Times New Roman"/>
          <w:b w:val="false"/>
          <w:bCs w:val="false"/>
          <w:i/>
          <w:iCs/>
          <w:sz w:val="22"/>
          <w:szCs w:val="22"/>
        </w:rPr>
        <w:t xml:space="preserve"> and subject to definitive documentation, applicable law, and completion of investor diligence._</w:t>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CINDERELLA CORP.</w:t>
      </w:r>
    </w:p>
    <w:p>
      <w:pPr>
        <w:pStyle w:val="Heading2"/>
        <w:spacing w:after="100" w:before="180"/>
      </w:pPr>
      <w:r>
        <w:rPr>
          <w:rFonts w:ascii="Times New Roman" w:cs="Times New Roman" w:eastAsia="Times New Roman" w:hAnsi="Times New Roman"/>
          <w:b w:val="false"/>
          <w:bCs w:val="false"/>
          <w:i w:val="false"/>
          <w:iCs w:val="false"/>
          <w:sz w:val="22"/>
          <w:szCs w:val="22"/>
        </w:rPr>
        <w:t xml:space="preserve">Seed Round — Summary of Principal Terms</w:t>
      </w:r>
    </w:p>
    <w:p>
      <w:pPr>
        <w:spacing w:after="80"/>
      </w:pPr>
      <w:r>
        <w:rPr>
          <w:rFonts w:ascii="Times New Roman" w:cs="Times New Roman" w:eastAsia="Times New Roman" w:hAnsi="Times New Roman"/>
          <w:b/>
          <w:bCs/>
          <w:i w:val="false"/>
          <w:iCs w:val="false"/>
          <w:sz w:val="22"/>
          <w:szCs w:val="22"/>
        </w:rPr>
        <w:t xml:space="preserve">August 2026</w:t>
      </w:r>
    </w:p>
    <w:p>
      <w:pPr>
        <w:spacing w:after="60"/>
      </w:pPr>
      <w:r>
        <w:t xml:space="preserve"/>
      </w:r>
    </w:p>
    <w:p>
      <w:pPr>
        <w:pBdr>
          <w:bottom w:val="single" w:color="999999" w:sz="6" w:space="1"/>
        </w:pBdr>
        <w:spacing w:after="80"/>
      </w:pPr>
      <w:r>
        <w:t xml:space="preserve"/>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THE OFFERING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864"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
            </w:r>
          </w:p>
        </w:tc>
        <w:tc>
          <w:tcPr>
            <w:tcW w:type="dxa" w:w="6560"/>
            <w:shd w:fill="1F3864"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Issuer</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Cinderella Corp., a Delaware corporation (the "Company")</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Securities Offered</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Class A Common Stock, together with a contractual Revenue-Share Right</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Total Offering</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$1,500,000</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Pre-Money Valuation</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$8,500,000</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Post-Money Valuation</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$10,000,000</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Investor Ownership</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15% of the Company's outstanding capital stock, post-closing</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Price Per Share</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$1.00</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Shares Offered</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1,500,000 shares of Class A Common Stock</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Minimum Allocation</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$100,000 (100,000 shares), representing 1.0% of the Company</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Number of Allocations</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15</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Closing</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Single closing, targeted September 15, 2026</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Eligibility</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Accredited investors only, pursuant to Rule 506(b) of Regulation D</w:t>
            </w:r>
          </w:p>
        </w:tc>
      </w:tr>
    </w:tbl>
    <w:p>
      <w:pPr>
        <w:spacing w:after="80"/>
      </w:pPr>
    </w:p>
    <w:p>
      <w:pPr>
        <w:spacing w:after="60"/>
      </w:pPr>
      <w:r>
        <w:t xml:space="preserve"/>
      </w:r>
    </w:p>
    <w:p>
      <w:pPr>
        <w:pBdr>
          <w:bottom w:val="single" w:color="999999" w:sz="6" w:space="1"/>
        </w:pBdr>
        <w:spacing w:after="80"/>
      </w:pPr>
      <w:r>
        <w:t xml:space="preserve"/>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INVESTOR ECONOMICS</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Investors receive two distinct economic rights: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 Permanent Equity.</w:t>
      </w:r>
      <w:r>
        <w:rPr>
          <w:rFonts w:ascii="Times New Roman" w:cs="Times New Roman" w:eastAsia="Times New Roman" w:hAnsi="Times New Roman"/>
          <w:b w:val="false"/>
          <w:bCs w:val="false"/>
          <w:i w:val="false"/>
          <w:iCs w:val="false"/>
          <w:sz w:val="22"/>
          <w:szCs w:val="22"/>
        </w:rPr>
        <w:t xml:space="preserve"> 15% of the Company's outstanding capital stock, held as Class A Common Stock. This interest is permanent and participates pro rata in all dividends and distributions, and in the proceeds of any sale of the Company, without cap or expiration.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 Revenue-Share Right.</w:t>
      </w:r>
      <w:r>
        <w:rPr>
          <w:rFonts w:ascii="Times New Roman" w:cs="Times New Roman" w:eastAsia="Times New Roman" w:hAnsi="Times New Roman"/>
          <w:b w:val="false"/>
          <w:bCs w:val="false"/>
          <w:i w:val="false"/>
          <w:iCs w:val="false"/>
          <w:sz w:val="22"/>
          <w:szCs w:val="22"/>
        </w:rPr>
        <w:t xml:space="preserve"> In addition to the equity above, and pursuant to a separate Revenue-Share Agreement, the Company will pay Investors:</w:t>
      </w:r>
    </w:p>
    <w:p>
      <w:pPr>
        <w:spacing w:after="60"/>
      </w:pPr>
      <w:r>
        <w:t xml:space="preserve"/>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50%</w:t>
      </w:r>
      <w:r>
        <w:rPr>
          <w:rFonts w:ascii="Times New Roman" w:cs="Times New Roman" w:eastAsia="Times New Roman" w:hAnsi="Times New Roman"/>
          <w:b w:val="false"/>
          <w:bCs w:val="false"/>
          <w:i w:val="false"/>
          <w:iCs w:val="false"/>
          <w:sz w:val="22"/>
          <w:szCs w:val="22"/>
        </w:rPr>
        <w:t xml:space="preserve"> of the Company's Gross Cash Revenue, until Investors have received aggregate payments equal to </w:t>
      </w:r>
      <w:r>
        <w:rPr>
          <w:rFonts w:ascii="Times New Roman" w:cs="Times New Roman" w:eastAsia="Times New Roman" w:hAnsi="Times New Roman"/>
          <w:b/>
          <w:bCs/>
          <w:i w:val="false"/>
          <w:iCs w:val="false"/>
          <w:sz w:val="22"/>
          <w:szCs w:val="22"/>
        </w:rPr>
        <w:t xml:space="preserve">1.0×</w:t>
      </w:r>
      <w:r>
        <w:rPr>
          <w:rFonts w:ascii="Times New Roman" w:cs="Times New Roman" w:eastAsia="Times New Roman" w:hAnsi="Times New Roman"/>
          <w:b w:val="false"/>
          <w:bCs w:val="false"/>
          <w:i w:val="false"/>
          <w:iCs w:val="false"/>
          <w:sz w:val="22"/>
          <w:szCs w:val="22"/>
        </w:rPr>
        <w:t xml:space="preserve"> their invested capital ($1,500,000); then</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10%</w:t>
      </w:r>
      <w:r>
        <w:rPr>
          <w:rFonts w:ascii="Times New Roman" w:cs="Times New Roman" w:eastAsia="Times New Roman" w:hAnsi="Times New Roman"/>
          <w:b w:val="false"/>
          <w:bCs w:val="false"/>
          <w:i w:val="false"/>
          <w:iCs w:val="false"/>
          <w:sz w:val="22"/>
          <w:szCs w:val="22"/>
        </w:rPr>
        <w:t xml:space="preserve"> of the Company's Gross Cash Revenue, until aggregate payments equal </w:t>
      </w:r>
      <w:r>
        <w:rPr>
          <w:rFonts w:ascii="Times New Roman" w:cs="Times New Roman" w:eastAsia="Times New Roman" w:hAnsi="Times New Roman"/>
          <w:b/>
          <w:bCs/>
          <w:i w:val="false"/>
          <w:iCs w:val="false"/>
          <w:sz w:val="22"/>
          <w:szCs w:val="22"/>
        </w:rPr>
        <w:t xml:space="preserve">2.0×</w:t>
      </w:r>
      <w:r>
        <w:rPr>
          <w:rFonts w:ascii="Times New Roman" w:cs="Times New Roman" w:eastAsia="Times New Roman" w:hAnsi="Times New Roman"/>
          <w:b w:val="false"/>
          <w:bCs w:val="false"/>
          <w:i w:val="false"/>
          <w:iCs w:val="false"/>
          <w:sz w:val="22"/>
          <w:szCs w:val="22"/>
        </w:rPr>
        <w:t xml:space="preserve"> their invested capital ($3,000,000);</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after which the Revenue-Share Right terminates.</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Revenue-Share Right is paid </w:t>
      </w:r>
      <w:r>
        <w:rPr>
          <w:rFonts w:ascii="Times New Roman" w:cs="Times New Roman" w:eastAsia="Times New Roman" w:hAnsi="Times New Roman"/>
          <w:b/>
          <w:bCs/>
          <w:i w:val="false"/>
          <w:iCs w:val="false"/>
          <w:sz w:val="22"/>
          <w:szCs w:val="22"/>
        </w:rPr>
        <w:t xml:space="preserve">in addition to</w:t>
      </w:r>
      <w:r>
        <w:rPr>
          <w:rFonts w:ascii="Times New Roman" w:cs="Times New Roman" w:eastAsia="Times New Roman" w:hAnsi="Times New Roman"/>
          <w:b w:val="false"/>
          <w:bCs w:val="false"/>
          <w:i w:val="false"/>
          <w:iCs w:val="false"/>
          <w:sz w:val="22"/>
          <w:szCs w:val="22"/>
        </w:rPr>
        <w:t xml:space="preserve">, and is not credited against, the Investors' permanent equity. Payments are made quarterly, pro rata among Investors.</w:t>
      </w:r>
    </w:p>
    <w:p>
      <w:pPr>
        <w:spacing w:after="60"/>
      </w:pPr>
      <w:r>
        <w:t xml:space="preserve"/>
      </w:r>
    </w:p>
    <w:p>
      <w:pPr>
        <w:pBdr>
          <w:bottom w:val="single" w:color="999999" w:sz="6" w:space="1"/>
        </w:pBdr>
        <w:spacing w:after="80"/>
      </w:pPr>
      <w:r>
        <w:t xml:space="preserve"/>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USE OF PROCEEDS</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Capital is deployed from closing through December 2027, with the balance held in reserve: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864"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Category</w:t>
            </w:r>
          </w:p>
        </w:tc>
        <w:tc>
          <w:tcPr>
            <w:tcW w:type="dxa" w:w="6560"/>
            <w:shd w:fill="1F3864"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Amount</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People and team</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$352,000</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Travel and field operations</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$250,000</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Celebrity access, brand and G&amp;A</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$200,000</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Legal, NCAA and NIL compliance, SPV framework</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$150,000</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Total deployed</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bCs/>
                <w:i w:val="false"/>
                <w:iCs w:val="false"/>
                <w:sz w:val="22"/>
                <w:szCs w:val="22"/>
              </w:rPr>
              <w:t xml:space="preserve">$952,000</w:t>
            </w:r>
          </w:p>
        </w:tc>
      </w:tr>
      <w:tr>
        <w:tc>
          <w:tcPr>
            <w:tcW w:type="dxa" w:w="280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Reserve</w:t>
            </w:r>
          </w:p>
        </w:tc>
        <w:tc>
          <w:tcPr>
            <w:tcW w:type="dxa" w:w="656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Balance</w:t>
            </w:r>
          </w:p>
        </w:tc>
      </w:tr>
    </w:tbl>
    <w:p>
      <w:pPr>
        <w:spacing w:after="80"/>
      </w:pP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Additional Capital.</w:t>
      </w:r>
      <w:r>
        <w:rPr>
          <w:rFonts w:ascii="Times New Roman" w:cs="Times New Roman" w:eastAsia="Times New Roman" w:hAnsi="Times New Roman"/>
          <w:b w:val="false"/>
          <w:bCs w:val="false"/>
          <w:i w:val="false"/>
          <w:iCs w:val="false"/>
          <w:sz w:val="22"/>
          <w:szCs w:val="22"/>
        </w:rPr>
        <w:t xml:space="preserve"> The Company may call an additional $1,500,000 on the same terms following the initial closing.</w:t>
      </w:r>
    </w:p>
    <w:p>
      <w:pPr>
        <w:spacing w:after="60"/>
      </w:pPr>
      <w:r>
        <w:t xml:space="preserve"/>
      </w:r>
    </w:p>
    <w:p>
      <w:pPr>
        <w:pBdr>
          <w:bottom w:val="single" w:color="999999" w:sz="6" w:space="1"/>
        </w:pBdr>
        <w:spacing w:after="80"/>
      </w:pPr>
      <w:r>
        <w:t xml:space="preserve"/>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CAPITAL STRUCTURE AND GOVERNANCE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Dual-Class Common Stock.</w:t>
      </w:r>
      <w:r>
        <w:rPr>
          <w:rFonts w:ascii="Times New Roman" w:cs="Times New Roman" w:eastAsia="Times New Roman" w:hAnsi="Times New Roman"/>
          <w:b w:val="false"/>
          <w:bCs w:val="false"/>
          <w:i w:val="false"/>
          <w:iCs w:val="false"/>
          <w:sz w:val="22"/>
          <w:szCs w:val="22"/>
        </w:rPr>
        <w:t xml:space="preserve"> The Company has two classes of common stock: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Class</w:t>
            </w:r>
          </w:p>
        </w:tc>
        <w:tc>
          <w:tcPr>
            <w:tcW w:type="dxa" w:w="3120"/>
            <w:shd w:fill="1F3864"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Votes Per Share</w:t>
            </w:r>
          </w:p>
        </w:tc>
        <w:tc>
          <w:tcPr>
            <w:tcW w:type="dxa" w:w="3120"/>
            <w:shd w:fill="1F3864"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Holder</w:t>
            </w:r>
          </w:p>
        </w:tc>
      </w:tr>
      <w:tr>
        <w:tc>
          <w:tcPr>
            <w:tcW w:type="dxa" w:w="312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Class A Common</w:t>
            </w:r>
          </w:p>
        </w:tc>
        <w:tc>
          <w:tcPr>
            <w:tcW w:type="dxa" w:w="312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1</w:t>
            </w:r>
          </w:p>
        </w:tc>
        <w:tc>
          <w:tcPr>
            <w:tcW w:type="dxa" w:w="312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Investors, and all holders other than the Founder</w:t>
            </w:r>
          </w:p>
        </w:tc>
      </w:tr>
      <w:tr>
        <w:tc>
          <w:tcPr>
            <w:tcW w:type="dxa" w:w="312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Class B Common</w:t>
            </w:r>
          </w:p>
        </w:tc>
        <w:tc>
          <w:tcPr>
            <w:tcW w:type="dxa" w:w="312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10</w:t>
            </w:r>
          </w:p>
        </w:tc>
        <w:tc>
          <w:tcPr>
            <w:tcW w:type="dxa" w:w="3120"/>
            <w:tcMar>
              <w:top w:type="dxa" w:w="60"/>
              <w:left w:type="dxa" w:w="90"/>
              <w:bottom w:type="dxa" w:w="60"/>
              <w:right w:type="dxa" w:w="90"/>
            </w:tcMar>
          </w:tcPr>
          <w:p>
            <w:pPr>
              <w:spacing w:after="40"/>
            </w:pPr>
            <w:r>
              <w:rPr>
                <w:rFonts w:ascii="Times New Roman" w:cs="Times New Roman" w:eastAsia="Times New Roman" w:hAnsi="Times New Roman"/>
                <w:b w:val="false"/>
                <w:bCs w:val="false"/>
                <w:i w:val="false"/>
                <w:iCs w:val="false"/>
                <w:sz w:val="22"/>
                <w:szCs w:val="22"/>
              </w:rPr>
              <w:t xml:space="preserve">Norman C. de Silva, exclusively</w:t>
            </w:r>
          </w:p>
        </w:tc>
      </w:tr>
    </w:tbl>
    <w:p>
      <w:pPr>
        <w:spacing w:after="80"/>
      </w:pP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Class B Common Stock converts automatically into Class A Common Stock upon any transfer other than a transfer to the Founder's estate-planning vehicle. Accordingly, voting control of the Company is held exclusively by the Founder and cannot be transferred.</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Board of Directors.</w:t>
      </w:r>
      <w:r>
        <w:rPr>
          <w:rFonts w:ascii="Times New Roman" w:cs="Times New Roman" w:eastAsia="Times New Roman" w:hAnsi="Times New Roman"/>
          <w:b w:val="false"/>
          <w:bCs w:val="false"/>
          <w:i w:val="false"/>
          <w:iCs w:val="false"/>
          <w:sz w:val="22"/>
          <w:szCs w:val="22"/>
        </w:rPr>
        <w:t xml:space="preserve"> Three directors, elected by stockholder vote. Investors do not receive a board seat or observer right.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Voting.</w:t>
      </w:r>
      <w:r>
        <w:rPr>
          <w:rFonts w:ascii="Times New Roman" w:cs="Times New Roman" w:eastAsia="Times New Roman" w:hAnsi="Times New Roman"/>
          <w:b w:val="false"/>
          <w:bCs w:val="false"/>
          <w:i w:val="false"/>
          <w:iCs w:val="false"/>
          <w:sz w:val="22"/>
          <w:szCs w:val="22"/>
        </w:rPr>
        <w:t xml:space="preserve"> Class A and Class B vote together as a single class. Investors' shares carry one vote per share.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Investor Protective Provisions.</w:t>
      </w:r>
      <w:r>
        <w:rPr>
          <w:rFonts w:ascii="Times New Roman" w:cs="Times New Roman" w:eastAsia="Times New Roman" w:hAnsi="Times New Roman"/>
          <w:b w:val="false"/>
          <w:bCs w:val="false"/>
          <w:i w:val="false"/>
          <w:iCs w:val="false"/>
          <w:sz w:val="22"/>
          <w:szCs w:val="22"/>
        </w:rPr>
        <w:t xml:space="preserve"> The Company will not, without the consent of holders of a majority of the Investor shares:</w:t>
      </w:r>
    </w:p>
    <w:p>
      <w:pPr>
        <w:spacing w:after="60"/>
      </w:pPr>
      <w:r>
        <w:t xml:space="preserve"/>
      </w:r>
    </w:p>
    <w:p>
      <w:pPr>
        <w:spacing w:after="40"/>
      </w:pPr>
      <w:r>
        <w:rPr>
          <w:rFonts w:ascii="Times New Roman" w:cs="Times New Roman" w:eastAsia="Times New Roman" w:hAnsi="Times New Roman"/>
          <w:b w:val="false"/>
          <w:bCs w:val="false"/>
          <w:i w:val="false"/>
          <w:iCs w:val="false"/>
          <w:sz w:val="22"/>
          <w:szCs w:val="22"/>
        </w:rPr>
        <w:t xml:space="preserve">1. amend its charter or governing agreements in a manner that disproportionately and adversely affects the Investors; or</w:t>
      </w:r>
    </w:p>
    <w:p>
      <w:pPr>
        <w:spacing w:after="40"/>
      </w:pPr>
      <w:r>
        <w:rPr>
          <w:rFonts w:ascii="Times New Roman" w:cs="Times New Roman" w:eastAsia="Times New Roman" w:hAnsi="Times New Roman"/>
          <w:b w:val="false"/>
          <w:bCs w:val="false"/>
          <w:i w:val="false"/>
          <w:iCs w:val="false"/>
          <w:sz w:val="22"/>
          <w:szCs w:val="22"/>
        </w:rPr>
        <w:t xml:space="preserve">2. issue any security senior in payment priority to the Revenue-Share Right.</w:t>
      </w:r>
    </w:p>
    <w:p>
      <w:pPr>
        <w:spacing w:after="60"/>
      </w:pPr>
      <w:r>
        <w:t xml:space="preserve"/>
      </w:r>
    </w:p>
    <w:p>
      <w:pPr>
        <w:pBdr>
          <w:bottom w:val="single" w:color="999999" w:sz="6" w:space="1"/>
        </w:pBdr>
        <w:spacing w:after="80"/>
      </w:pPr>
      <w:r>
        <w:t xml:space="preserve"/>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INVESTOR RIGHTS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Information Rights.</w:t>
      </w:r>
      <w:r>
        <w:rPr>
          <w:rFonts w:ascii="Times New Roman" w:cs="Times New Roman" w:eastAsia="Times New Roman" w:hAnsi="Times New Roman"/>
          <w:b w:val="false"/>
          <w:bCs w:val="false"/>
          <w:i w:val="false"/>
          <w:iCs w:val="false"/>
          <w:sz w:val="22"/>
          <w:szCs w:val="22"/>
        </w:rPr>
        <w:t xml:space="preserve"> Investors receive annual financial statements within 120 days of fiscal year end, applicable annual tax forms, and written business updates not less than annually.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Return of Capital.</w:t>
      </w:r>
      <w:r>
        <w:rPr>
          <w:rFonts w:ascii="Times New Roman" w:cs="Times New Roman" w:eastAsia="Times New Roman" w:hAnsi="Times New Roman"/>
          <w:b w:val="false"/>
          <w:bCs w:val="false"/>
          <w:i w:val="false"/>
          <w:iCs w:val="false"/>
          <w:sz w:val="22"/>
          <w:szCs w:val="22"/>
        </w:rPr>
        <w:t xml:space="preserve"> Beginning January 1, 2027, the Investor Representative may require the Company to return undeployed capital to Investors, pro rata, from the Company's available reserve, if the Company has not achieved sufficient operating progress to warrant continued deployment. Sufficient progress is measured by the Company's achievement of at least two of the following:</w:t>
      </w:r>
    </w:p>
    <w:p>
      <w:pPr>
        <w:spacing w:after="60"/>
      </w:pPr>
      <w:r>
        <w:t xml:space="preserve"/>
      </w:r>
    </w:p>
    <w:p>
      <w:pPr>
        <w:spacing w:after="40"/>
      </w:pPr>
      <w:r>
        <w:rPr>
          <w:rFonts w:ascii="Times New Roman" w:cs="Times New Roman" w:eastAsia="Times New Roman" w:hAnsi="Times New Roman"/>
          <w:b w:val="false"/>
          <w:bCs w:val="false"/>
          <w:i w:val="false"/>
          <w:iCs w:val="false"/>
          <w:sz w:val="22"/>
          <w:szCs w:val="22"/>
        </w:rPr>
        <w:t xml:space="preserve">1. an executed agreement or letter of intent with at least one Division I institution;</w:t>
      </w:r>
    </w:p>
    <w:p>
      <w:pPr>
        <w:spacing w:after="40"/>
      </w:pPr>
      <w:r>
        <w:rPr>
          <w:rFonts w:ascii="Times New Roman" w:cs="Times New Roman" w:eastAsia="Times New Roman" w:hAnsi="Times New Roman"/>
          <w:b w:val="false"/>
          <w:bCs w:val="false"/>
          <w:i w:val="false"/>
          <w:iCs w:val="false"/>
          <w:sz w:val="22"/>
          <w:szCs w:val="22"/>
        </w:rPr>
        <w:t xml:space="preserve">2. an executed agreement with at least one lead celebrity; and</w:t>
      </w:r>
    </w:p>
    <w:p>
      <w:pPr>
        <w:spacing w:after="40"/>
      </w:pPr>
      <w:r>
        <w:rPr>
          <w:rFonts w:ascii="Times New Roman" w:cs="Times New Roman" w:eastAsia="Times New Roman" w:hAnsi="Times New Roman"/>
          <w:b w:val="false"/>
          <w:bCs w:val="false"/>
          <w:i w:val="false"/>
          <w:iCs w:val="false"/>
          <w:sz w:val="22"/>
          <w:szCs w:val="22"/>
        </w:rPr>
        <w:t xml:space="preserve">3. an executed term sheet or definitive agreement with a distribution partner or capital partner for a school-level special purpose vehicle.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Investor Representative.</w:t>
      </w:r>
      <w:r>
        <w:rPr>
          <w:rFonts w:ascii="Times New Roman" w:cs="Times New Roman" w:eastAsia="Times New Roman" w:hAnsi="Times New Roman"/>
          <w:b w:val="false"/>
          <w:bCs w:val="false"/>
          <w:i w:val="false"/>
          <w:iCs w:val="false"/>
          <w:sz w:val="22"/>
          <w:szCs w:val="22"/>
        </w:rPr>
        <w:t xml:space="preserve"> Ankur Jain will serve as Investor Representative, acting on behalf of the Investors with respect to the return-of-capital right and the protective provisions.</w:t>
      </w:r>
    </w:p>
    <w:p>
      <w:pPr>
        <w:spacing w:after="60"/>
      </w:pPr>
      <w:r>
        <w:t xml:space="preserve"/>
      </w:r>
    </w:p>
    <w:p>
      <w:pPr>
        <w:pBdr>
          <w:bottom w:val="single" w:color="999999" w:sz="6" w:space="1"/>
        </w:pBdr>
        <w:spacing w:after="80"/>
      </w:pPr>
      <w:r>
        <w:t xml:space="preserve"/>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TRANSFER AND LIQUIDITY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Transfer Restrictions.</w:t>
      </w:r>
      <w:r>
        <w:rPr>
          <w:rFonts w:ascii="Times New Roman" w:cs="Times New Roman" w:eastAsia="Times New Roman" w:hAnsi="Times New Roman"/>
          <w:b w:val="false"/>
          <w:bCs w:val="false"/>
          <w:i w:val="false"/>
          <w:iCs w:val="false"/>
          <w:sz w:val="22"/>
          <w:szCs w:val="22"/>
        </w:rPr>
        <w:t xml:space="preserve"> Shares are restricted securities and may not be transferred absent registration or an available exemption, and are subject to a Company right of first refusal and board consent.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Co-Sale.</w:t>
      </w:r>
      <w:r>
        <w:rPr>
          <w:rFonts w:ascii="Times New Roman" w:cs="Times New Roman" w:eastAsia="Times New Roman" w:hAnsi="Times New Roman"/>
          <w:b w:val="false"/>
          <w:bCs w:val="false"/>
          <w:i w:val="false"/>
          <w:iCs w:val="false"/>
          <w:sz w:val="22"/>
          <w:szCs w:val="22"/>
        </w:rPr>
        <w:t xml:space="preserve"> Investors may participate pro rata in any sale of shares by the Founder to a third party.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Drag-Along.</w:t>
      </w:r>
      <w:r>
        <w:rPr>
          <w:rFonts w:ascii="Times New Roman" w:cs="Times New Roman" w:eastAsia="Times New Roman" w:hAnsi="Times New Roman"/>
          <w:b w:val="false"/>
          <w:bCs w:val="false"/>
          <w:i w:val="false"/>
          <w:iCs w:val="false"/>
          <w:sz w:val="22"/>
          <w:szCs w:val="22"/>
        </w:rPr>
        <w:t xml:space="preserve"> Upon a board-approved sale of the Company, all stockholders participate on the same per-share terms.</w:t>
      </w:r>
    </w:p>
    <w:p>
      <w:pPr>
        <w:spacing w:after="60"/>
      </w:pPr>
      <w:r>
        <w:t xml:space="preserve"/>
      </w:r>
    </w:p>
    <w:p>
      <w:pPr>
        <w:pBdr>
          <w:bottom w:val="single" w:color="999999" w:sz="6" w:space="1"/>
        </w:pBdr>
        <w:spacing w:after="80"/>
      </w:pPr>
      <w:r>
        <w:t xml:space="preserve"/>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THE COMPANY</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Cinderella Corp. is the parent company behind *Making Cinderella*, a sports entertainment franchise that pairs high-profile celebrities with underdog Division I basketball programs and captures each season as a premium documentary series. The Company owns the franchise intellectual property, identifies and contracts schools and talent, structures and holds interests in school-level special purpose vehicles, and provides centralized media and commercial capability across the portfolio.</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Company Economics Per School.</w:t>
      </w:r>
      <w:r>
        <w:rPr>
          <w:rFonts w:ascii="Times New Roman" w:cs="Times New Roman" w:eastAsia="Times New Roman" w:hAnsi="Times New Roman"/>
          <w:b w:val="false"/>
          <w:bCs w:val="false"/>
          <w:i w:val="false"/>
          <w:iCs w:val="false"/>
          <w:sz w:val="22"/>
          <w:szCs w:val="22"/>
        </w:rPr>
        <w:t xml:space="preserve"> 40% of SPV equity, a one-time franchise fee of 5% on SPV capital called, and a 2.5% annual management fee on SPV cost.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Leadership.</w:t>
      </w:r>
      <w:r>
        <w:rPr>
          <w:rFonts w:ascii="Times New Roman" w:cs="Times New Roman" w:eastAsia="Times New Roman" w:hAnsi="Times New Roman"/>
          <w:b w:val="false"/>
          <w:bCs w:val="false"/>
          <w:i w:val="false"/>
          <w:iCs w:val="false"/>
          <w:sz w:val="22"/>
          <w:szCs w:val="22"/>
        </w:rPr>
        <w:t xml:space="preserve"> Norman C. de Silva, Founder and Chief Executive Officer. Sunjay Mathews, Day 1 Partner. Ankur Jain and Greg Kristof, Strategic Advisors.</w:t>
      </w:r>
    </w:p>
    <w:p>
      <w:pPr>
        <w:spacing w:after="60"/>
      </w:pPr>
      <w:r>
        <w:t xml:space="preserve"/>
      </w:r>
    </w:p>
    <w:p>
      <w:pPr>
        <w:pBdr>
          <w:bottom w:val="single" w:color="999999" w:sz="6" w:space="1"/>
        </w:pBdr>
        <w:spacing w:after="80"/>
      </w:pPr>
      <w:r>
        <w:t xml:space="preserve"/>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DOCUMENTATION</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transaction will be documented by: (i) this Term Sheet; (ii) a Stock Purchase Agreement, with an accredited investor questionnaire; (iii) a Revenue-Share Agreement; (iv) a Stockholders' Agreement; and (v) the Company's Amended and Restated Certificate of Incorporation and Bylaws.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Expenses.</w:t>
      </w:r>
      <w:r>
        <w:rPr>
          <w:rFonts w:ascii="Times New Roman" w:cs="Times New Roman" w:eastAsia="Times New Roman" w:hAnsi="Times New Roman"/>
          <w:b w:val="false"/>
          <w:bCs w:val="false"/>
          <w:i w:val="false"/>
          <w:iCs w:val="false"/>
          <w:sz w:val="22"/>
          <w:szCs w:val="22"/>
        </w:rPr>
        <w:t xml:space="preserve"> Each party bears its own expenses.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Governing Law.</w:t>
      </w:r>
      <w:r>
        <w:rPr>
          <w:rFonts w:ascii="Times New Roman" w:cs="Times New Roman" w:eastAsia="Times New Roman" w:hAnsi="Times New Roman"/>
          <w:b w:val="false"/>
          <w:bCs w:val="false"/>
          <w:i w:val="false"/>
          <w:iCs w:val="false"/>
          <w:sz w:val="22"/>
          <w:szCs w:val="22"/>
        </w:rPr>
        <w:t xml:space="preserve"> Delaware.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Confidentiality.</w:t>
      </w:r>
      <w:r>
        <w:rPr>
          <w:rFonts w:ascii="Times New Roman" w:cs="Times New Roman" w:eastAsia="Times New Roman" w:hAnsi="Times New Roman"/>
          <w:b w:val="false"/>
          <w:bCs w:val="false"/>
          <w:i w:val="false"/>
          <w:iCs w:val="false"/>
          <w:sz w:val="22"/>
          <w:szCs w:val="22"/>
        </w:rPr>
        <w:t xml:space="preserve"> The existence and terms of this Term Sheet, and all information furnished by the Company, are confidential and may not be disclosed without the Company's prior written consent. This provision is binding.</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*Cinderella Corp. · Confidential*</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2026-08-25T03:16:12.122Z</dcterms:created>
  <dcterms:modified xsi:type="dcterms:W3CDTF">2026-08-25T03:16:12.138Z</dcterms:modified>
</cp:coreProperties>
</file>

<file path=docProps/custom.xml><?xml version="1.0" encoding="utf-8"?>
<Properties xmlns="http://schemas.openxmlformats.org/officeDocument/2006/custom-properties" xmlns:vt="http://schemas.openxmlformats.org/officeDocument/2006/docPropsVTypes"/>
</file>