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ormorant Garamond" w:cs="Cormorant Garamond" w:eastAsia="Cormorant Garamond" w:hAnsi="Cormorant Garamond"/>
          <w:b/>
          <w:bCs/>
          <w:caps/>
          <w:sz w:val="40"/>
          <w:szCs w:val="40"/>
        </w:rPr>
        <w:t xml:space="preserve">TERM SHEET (non-binding) — Cinderella Corp ↔ EverWonder</w:t>
      </w:r>
    </w:p>
    <w:p>
      <w:pPr>
        <w:spacing w:after="120" w:line="276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sz w:val="22"/>
          <w:szCs w:val="22"/>
        </w:rPr>
        <w:t xml:space="preserve">_Production partnership deal points. Draft for discussion; </w:t>
      </w:r>
      <w:r>
        <w:rPr>
          <w:rFonts w:ascii="Garamond" w:cs="Garamond" w:eastAsia="Garamond" w:hAnsi="Garamond"/>
          <w:b/>
          <w:bCs/>
          <w:i w:val="false"/>
          <w:iCs w:val="false"/>
          <w:sz w:val="22"/>
          <w:szCs w:val="22"/>
        </w:rPr>
        <w:t xml:space="preserve">not legal advice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sz w:val="22"/>
          <w:szCs w:val="22"/>
        </w:rPr>
        <w:t xml:space="preserve"> — Loeb (Socolow)</w:t>
      </w:r>
    </w:p>
    <w:p>
      <w:pPr>
        <w:spacing w:after="120" w:line="276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sz w:val="22"/>
          <w:szCs w:val="22"/>
        </w:rPr>
        <w:t xml:space="preserve">to paper. Purpose: fix the ownership/role split </w:t>
      </w:r>
      <w:r>
        <w:rPr>
          <w:rFonts w:ascii="Garamond" w:cs="Garamond" w:eastAsia="Garamond" w:hAnsi="Garamond"/>
          <w:b/>
          <w:bCs/>
          <w:i w:val="false"/>
          <w:iCs w:val="false"/>
          <w:sz w:val="22"/>
          <w:szCs w:val="22"/>
        </w:rPr>
        <w:t xml:space="preserve">before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sz w:val="22"/>
          <w:szCs w:val="22"/>
        </w:rPr>
        <w:t xml:space="preserve"> EverWonder internally greenlights</w:t>
      </w:r>
    </w:p>
    <w:p>
      <w:pPr>
        <w:spacing w:after="120" w:line="276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sz w:val="22"/>
          <w:szCs w:val="22"/>
        </w:rPr>
        <w:t xml:space="preserve">production (Becca Gitlitz as director/showrunner), so the partnership is "great producer," not</w:t>
      </w:r>
    </w:p>
    <w:p>
      <w:pPr>
        <w:spacing w:after="120" w:line="276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sz w:val="22"/>
          <w:szCs w:val="22"/>
        </w:rPr>
        <w:t xml:space="preserve">"producer who owns the franchise." Anchored to the EverWonder risk map in cinderella/CLAUDE.md._</w:t>
      </w:r>
    </w:p>
    <w:p>
      <w:pPr>
        <w:spacing w:after="70" w:before="220"/>
      </w:pPr>
      <w:r>
        <w:rPr>
          <w:rFonts w:ascii="Garamond" w:cs="Garamond" w:eastAsia="Garamond" w:hAnsi="Garamond"/>
          <w:b/>
          <w:bCs/>
          <w:spacing w:val="20"/>
          <w:sz w:val="24"/>
          <w:szCs w:val="24"/>
        </w:rPr>
        <w:t xml:space="preserve">1. Parties &amp; structure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Garamond" w:cs="Garamond" w:eastAsia="Garamond" w:hAnsi="Garamond"/>
          <w:b/>
          <w:bCs/>
          <w:i w:val="false"/>
          <w:iCs w:val="false"/>
          <w:sz w:val="22"/>
          <w:szCs w:val="22"/>
        </w:rPr>
        <w:t xml:space="preserve">Cinderella Corp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sz w:val="22"/>
          <w:szCs w:val="22"/>
        </w:rPr>
        <w:t xml:space="preserve"> ("Company") — owner of the </w:t>
      </w:r>
      <w:r>
        <w:rPr>
          <w:rFonts w:ascii="Garamond" w:cs="Garamond" w:eastAsia="Garamond" w:hAnsi="Garamond"/>
          <w:b w:val="false"/>
          <w:bCs w:val="false"/>
          <w:i/>
          <w:iCs/>
          <w:sz w:val="22"/>
          <w:szCs w:val="22"/>
        </w:rPr>
        <w:t xml:space="preserve">Making Cinderella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sz w:val="22"/>
          <w:szCs w:val="22"/>
        </w:rPr>
        <w:t xml:space="preserve"> franchise; principal.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Garamond" w:cs="Garamond" w:eastAsia="Garamond" w:hAnsi="Garamond"/>
          <w:b/>
          <w:bCs/>
          <w:i w:val="false"/>
          <w:iCs w:val="false"/>
          <w:sz w:val="22"/>
          <w:szCs w:val="22"/>
        </w:rPr>
        <w:t xml:space="preserve">EverWonder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sz w:val="22"/>
          <w:szCs w:val="22"/>
        </w:rPr>
        <w:t xml:space="preserve"> ("Producer") — production services partner for designated seasons.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sz w:val="22"/>
          <w:szCs w:val="22"/>
        </w:rPr>
        <w:t xml:space="preserve">Producer is engaged as a </w:t>
      </w:r>
      <w:r>
        <w:rPr>
          <w:rFonts w:ascii="Garamond" w:cs="Garamond" w:eastAsia="Garamond" w:hAnsi="Garamond"/>
          <w:b/>
          <w:bCs/>
          <w:i w:val="false"/>
          <w:iCs w:val="false"/>
          <w:sz w:val="22"/>
          <w:szCs w:val="22"/>
        </w:rPr>
        <w:t xml:space="preserve">production vendor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sz w:val="22"/>
          <w:szCs w:val="22"/>
        </w:rPr>
        <w:t xml:space="preserve"> for the season(s) specified; this is </w:t>
      </w:r>
      <w:r>
        <w:rPr>
          <w:rFonts w:ascii="Garamond" w:cs="Garamond" w:eastAsia="Garamond" w:hAnsi="Garamond"/>
          <w:b/>
          <w:bCs/>
          <w:i w:val="false"/>
          <w:iCs w:val="false"/>
          <w:sz w:val="22"/>
          <w:szCs w:val="22"/>
        </w:rPr>
        <w:t xml:space="preserve">not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sz w:val="22"/>
          <w:szCs w:val="22"/>
        </w:rPr>
        <w:t xml:space="preserve"> a</w:t>
      </w:r>
    </w:p>
    <w:p>
      <w:pPr>
        <w:spacing w:after="120" w:line="276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sz w:val="22"/>
          <w:szCs w:val="22"/>
        </w:rPr>
        <w:t xml:space="preserve">sale, assignment, or co-ownership of the franchise.</w:t>
      </w:r>
    </w:p>
    <w:p>
      <w:pPr>
        <w:spacing w:after="70" w:before="220"/>
      </w:pPr>
      <w:r>
        <w:rPr>
          <w:rFonts w:ascii="Garamond" w:cs="Garamond" w:eastAsia="Garamond" w:hAnsi="Garamond"/>
          <w:b/>
          <w:bCs/>
          <w:spacing w:val="20"/>
          <w:sz w:val="24"/>
          <w:szCs w:val="24"/>
        </w:rPr>
        <w:t xml:space="preserve">2. IP &amp; format ownership (non-negotiable)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sz w:val="22"/>
          <w:szCs w:val="22"/>
        </w:rPr>
        <w:t xml:space="preserve">Company </w:t>
      </w:r>
      <w:r>
        <w:rPr>
          <w:rFonts w:ascii="Garamond" w:cs="Garamond" w:eastAsia="Garamond" w:hAnsi="Garamond"/>
          <w:b/>
          <w:bCs/>
          <w:i w:val="false"/>
          <w:iCs w:val="false"/>
          <w:sz w:val="22"/>
          <w:szCs w:val="22"/>
        </w:rPr>
        <w:t xml:space="preserve">owns and retains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sz w:val="22"/>
          <w:szCs w:val="22"/>
        </w:rPr>
        <w:t xml:space="preserve"> all right, title, and interest in: the </w:t>
      </w:r>
      <w:r>
        <w:rPr>
          <w:rFonts w:ascii="Garamond" w:cs="Garamond" w:eastAsia="Garamond" w:hAnsi="Garamond"/>
          <w:b w:val="false"/>
          <w:bCs w:val="false"/>
          <w:i/>
          <w:iCs/>
          <w:sz w:val="22"/>
          <w:szCs w:val="22"/>
        </w:rPr>
        <w:t xml:space="preserve">Making Cinderella</w:t>
      </w:r>
    </w:p>
    <w:p>
      <w:pPr>
        <w:spacing w:after="120" w:line="276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sz w:val="22"/>
          <w:szCs w:val="22"/>
        </w:rPr>
        <w:t xml:space="preserve">format and format bible, the trademark/brand, the multi-school franchise concept and</w:t>
      </w:r>
    </w:p>
    <w:p>
      <w:pPr>
        <w:spacing w:after="120" w:line="276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sz w:val="22"/>
          <w:szCs w:val="22"/>
        </w:rPr>
        <w:t xml:space="preserve">structure, the compliance/operating system, and all underlying/created materials.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Garamond" w:cs="Garamond" w:eastAsia="Garamond" w:hAnsi="Garamond"/>
          <w:b/>
          <w:bCs/>
          <w:i w:val="false"/>
          <w:iCs w:val="false"/>
          <w:sz w:val="22"/>
          <w:szCs w:val="22"/>
        </w:rPr>
        <w:t xml:space="preserve">"Created by: Norman de Silva / Cinderella Corp"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sz w:val="22"/>
          <w:szCs w:val="22"/>
        </w:rPr>
        <w:t xml:space="preserve"> and franchise/format credit are retained</w:t>
      </w:r>
    </w:p>
    <w:p>
      <w:pPr>
        <w:spacing w:after="120" w:line="276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sz w:val="22"/>
          <w:szCs w:val="22"/>
        </w:rPr>
        <w:t xml:space="preserve">by Company on all seasons and derivatives, in perpetuity.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sz w:val="22"/>
          <w:szCs w:val="22"/>
        </w:rPr>
        <w:t xml:space="preserve">Producer acquires </w:t>
      </w:r>
      <w:r>
        <w:rPr>
          <w:rFonts w:ascii="Garamond" w:cs="Garamond" w:eastAsia="Garamond" w:hAnsi="Garamond"/>
          <w:b/>
          <w:bCs/>
          <w:i w:val="false"/>
          <w:iCs w:val="false"/>
          <w:sz w:val="22"/>
          <w:szCs w:val="22"/>
        </w:rPr>
        <w:t xml:space="preserve">no ownership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sz w:val="22"/>
          <w:szCs w:val="22"/>
        </w:rPr>
        <w:t xml:space="preserve"> of the format, franchise, or brand — only the agreed</w:t>
      </w:r>
    </w:p>
    <w:p>
      <w:pPr>
        <w:spacing w:after="120" w:line="276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sz w:val="22"/>
          <w:szCs w:val="22"/>
        </w:rPr>
        <w:t xml:space="preserve">production credit and the defined production compensation below.</w:t>
      </w:r>
    </w:p>
    <w:p>
      <w:pPr>
        <w:spacing w:after="70" w:before="220"/>
      </w:pPr>
      <w:r>
        <w:rPr>
          <w:rFonts w:ascii="Garamond" w:cs="Garamond" w:eastAsia="Garamond" w:hAnsi="Garamond"/>
          <w:b/>
          <w:bCs/>
          <w:spacing w:val="20"/>
          <w:sz w:val="24"/>
          <w:szCs w:val="24"/>
        </w:rPr>
        <w:t xml:space="preserve">3. Producer role &amp; credit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sz w:val="22"/>
          <w:szCs w:val="22"/>
        </w:rPr>
        <w:t xml:space="preserve">Producer provides production services for the designated season(s); </w:t>
      </w:r>
      <w:r>
        <w:rPr>
          <w:rFonts w:ascii="Garamond" w:cs="Garamond" w:eastAsia="Garamond" w:hAnsi="Garamond"/>
          <w:b/>
          <w:bCs/>
          <w:i w:val="false"/>
          <w:iCs w:val="false"/>
          <w:sz w:val="22"/>
          <w:szCs w:val="22"/>
        </w:rPr>
        <w:t xml:space="preserve">Becca Gitlitz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sz w:val="22"/>
          <w:szCs w:val="22"/>
        </w:rPr>
        <w:t xml:space="preserve"> as</w:t>
      </w:r>
    </w:p>
    <w:p>
      <w:pPr>
        <w:spacing w:after="120" w:line="276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sz w:val="22"/>
          <w:szCs w:val="22"/>
        </w:rPr>
        <w:t xml:space="preserve">director/showrunner (or as mutually agreed).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sz w:val="22"/>
          <w:szCs w:val="22"/>
        </w:rPr>
        <w:t xml:space="preserve">Credits: Producer receives a customary production company credit; Becca receives</w:t>
      </w:r>
    </w:p>
    <w:p>
      <w:pPr>
        <w:spacing w:after="120" w:line="276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sz w:val="22"/>
          <w:szCs w:val="22"/>
        </w:rPr>
        <w:t xml:space="preserve">director/showrunner credit. Company receives "created by" + franchise/EP credit.</w:t>
      </w:r>
    </w:p>
    <w:p>
      <w:pPr>
        <w:spacing w:after="70" w:before="220"/>
      </w:pPr>
      <w:r>
        <w:rPr>
          <w:rFonts w:ascii="Garamond" w:cs="Garamond" w:eastAsia="Garamond" w:hAnsi="Garamond"/>
          <w:b/>
          <w:bCs/>
          <w:spacing w:val="20"/>
          <w:sz w:val="24"/>
          <w:szCs w:val="24"/>
        </w:rPr>
        <w:t xml:space="preserve">4. Economics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sz w:val="22"/>
          <w:szCs w:val="22"/>
        </w:rPr>
        <w:t xml:space="preserve">Producer compensation = a </w:t>
      </w:r>
      <w:r>
        <w:rPr>
          <w:rFonts w:ascii="Garamond" w:cs="Garamond" w:eastAsia="Garamond" w:hAnsi="Garamond"/>
          <w:b/>
          <w:bCs/>
          <w:i w:val="false"/>
          <w:iCs w:val="false"/>
          <w:sz w:val="22"/>
          <w:szCs w:val="22"/>
        </w:rPr>
        <w:t xml:space="preserve">defined production fee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sz w:val="22"/>
          <w:szCs w:val="22"/>
        </w:rPr>
        <w:t xml:space="preserve"> (and, if agreed, a **capped production</w:t>
      </w:r>
    </w:p>
    <w:p>
      <w:pPr>
        <w:spacing w:after="120" w:line="276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sz w:val="22"/>
          <w:szCs w:val="22"/>
        </w:rPr>
        <w:t xml:space="preserve">backend on the specific seasons Producer makes</w:t>
      </w:r>
      <w:r>
        <w:rPr>
          <w:rFonts w:ascii="Garamond" w:cs="Garamond" w:eastAsia="Garamond" w:hAnsi="Garamond"/>
          <w:b/>
          <w:bCs/>
          <w:i w:val="false"/>
          <w:iCs w:val="false"/>
          <w:sz w:val="22"/>
          <w:szCs w:val="22"/>
        </w:rPr>
        <w:t xml:space="preserve">).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sz w:val="22"/>
          <w:szCs w:val="22"/>
        </w:rPr>
        <w:t xml:space="preserve">Define exactly what any percentage is a</w:t>
      </w:r>
    </w:p>
    <w:p>
      <w:pPr>
        <w:spacing w:after="120" w:line="276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sz w:val="22"/>
          <w:szCs w:val="22"/>
        </w:rPr>
        <w:t xml:space="preserve">percentage </w:t>
      </w:r>
      <w:r>
        <w:rPr>
          <w:rFonts w:ascii="Garamond" w:cs="Garamond" w:eastAsia="Garamond" w:hAnsi="Garamond"/>
          <w:b w:val="false"/>
          <w:bCs w:val="false"/>
          <w:i/>
          <w:iCs/>
          <w:sz w:val="22"/>
          <w:szCs w:val="22"/>
        </w:rPr>
        <w:t xml:space="preserve">of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sz w:val="22"/>
          <w:szCs w:val="22"/>
        </w:rPr>
        <w:t xml:space="preserve">** — production budget vs. gross vs. net are radically different; the casual</w:t>
      </w:r>
    </w:p>
    <w:p>
      <w:pPr>
        <w:spacing w:after="120" w:line="276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sz w:val="22"/>
          <w:szCs w:val="22"/>
        </w:rPr>
        <w:t xml:space="preserve">"flat 10%" framing is not accepted until scoped in writing.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sz w:val="22"/>
          <w:szCs w:val="22"/>
        </w:rPr>
        <w:t xml:space="preserve">Producer receives </w:t>
      </w:r>
      <w:r>
        <w:rPr>
          <w:rFonts w:ascii="Garamond" w:cs="Garamond" w:eastAsia="Garamond" w:hAnsi="Garamond"/>
          <w:b/>
          <w:bCs/>
          <w:i w:val="false"/>
          <w:iCs w:val="false"/>
          <w:sz w:val="22"/>
          <w:szCs w:val="22"/>
        </w:rPr>
        <w:t xml:space="preserve">no franchise-level equity or franchise backend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sz w:val="22"/>
          <w:szCs w:val="22"/>
        </w:rPr>
        <w:t xml:space="preserve"> — franchise economics</w:t>
      </w:r>
    </w:p>
    <w:p>
      <w:pPr>
        <w:spacing w:after="120" w:line="276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sz w:val="22"/>
          <w:szCs w:val="22"/>
        </w:rPr>
        <w:t xml:space="preserve">(format license, renewals, future seasons, spin-offs) belong to Company.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sz w:val="22"/>
          <w:szCs w:val="22"/>
        </w:rPr>
        <w:t xml:space="preserve">Distribution: the Company/SPV collects the </w:t>
      </w:r>
      <w:r>
        <w:rPr>
          <w:rFonts w:ascii="Garamond" w:cs="Garamond" w:eastAsia="Garamond" w:hAnsi="Garamond"/>
          <w:b/>
          <w:bCs/>
          <w:i w:val="false"/>
          <w:iCs w:val="false"/>
          <w:sz w:val="22"/>
          <w:szCs w:val="22"/>
        </w:rPr>
        <w:t xml:space="preserve">distributor license fee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sz w:val="22"/>
          <w:szCs w:val="22"/>
        </w:rPr>
        <w:t xml:space="preserve">; Producer does </w:t>
      </w:r>
      <w:r>
        <w:rPr>
          <w:rFonts w:ascii="Garamond" w:cs="Garamond" w:eastAsia="Garamond" w:hAnsi="Garamond"/>
          <w:b/>
          <w:bCs/>
          <w:i w:val="false"/>
          <w:iCs w:val="false"/>
          <w:sz w:val="22"/>
          <w:szCs w:val="22"/>
        </w:rPr>
        <w:t xml:space="preserve">not</w:t>
      </w:r>
    </w:p>
    <w:p>
      <w:pPr>
        <w:spacing w:after="120" w:line="276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sz w:val="22"/>
          <w:szCs w:val="22"/>
        </w:rPr>
        <w:t xml:space="preserve">own or collect distribution rights.</w:t>
      </w:r>
    </w:p>
    <w:p>
      <w:pPr>
        <w:spacing w:after="70" w:before="220"/>
      </w:pPr>
      <w:r>
        <w:rPr>
          <w:rFonts w:ascii="Garamond" w:cs="Garamond" w:eastAsia="Garamond" w:hAnsi="Garamond"/>
          <w:b/>
          <w:bCs/>
          <w:spacing w:val="20"/>
          <w:sz w:val="24"/>
          <w:szCs w:val="24"/>
        </w:rPr>
        <w:t xml:space="preserve">5. Buyer relationship &amp; go-to-market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Garamond" w:cs="Garamond" w:eastAsia="Garamond" w:hAnsi="Garamond"/>
          <w:b/>
          <w:bCs/>
          <w:i w:val="false"/>
          <w:iCs w:val="false"/>
          <w:sz w:val="22"/>
          <w:szCs w:val="22"/>
        </w:rPr>
        <w:t xml:space="preserve">Company is the principal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sz w:val="22"/>
          <w:szCs w:val="22"/>
        </w:rPr>
        <w:t xml:space="preserve"> in all buyer (streamer/network) negotiations. Producer</w:t>
      </w:r>
    </w:p>
    <w:p>
      <w:pPr>
        <w:spacing w:after="120" w:line="276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sz w:val="22"/>
          <w:szCs w:val="22"/>
        </w:rPr>
        <w:t xml:space="preserve">participates as production partner and may contribute its relationships, but does </w:t>
      </w:r>
      <w:r>
        <w:rPr>
          <w:rFonts w:ascii="Garamond" w:cs="Garamond" w:eastAsia="Garamond" w:hAnsi="Garamond"/>
          <w:b/>
          <w:bCs/>
          <w:i w:val="false"/>
          <w:iCs w:val="false"/>
          <w:sz w:val="22"/>
          <w:szCs w:val="22"/>
        </w:rPr>
        <w:t xml:space="preserve">not</w:t>
      </w:r>
    </w:p>
    <w:p>
      <w:pPr>
        <w:spacing w:after="120" w:line="276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sz w:val="22"/>
          <w:szCs w:val="22"/>
        </w:rPr>
        <w:t xml:space="preserve">independently own, control, or separately shop the buyer relationship.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sz w:val="22"/>
          <w:szCs w:val="22"/>
        </w:rPr>
        <w:t xml:space="preserve">All buyer outreach runs through </w:t>
      </w:r>
      <w:r>
        <w:rPr>
          <w:rFonts w:ascii="Garamond" w:cs="Garamond" w:eastAsia="Garamond" w:hAnsi="Garamond"/>
          <w:b/>
          <w:bCs/>
          <w:i w:val="false"/>
          <w:iCs w:val="false"/>
          <w:sz w:val="22"/>
          <w:szCs w:val="22"/>
        </w:rPr>
        <w:t xml:space="preserve">one coordinated process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sz w:val="22"/>
          <w:szCs w:val="22"/>
        </w:rPr>
        <w:t xml:space="preserve"> (single lead/quarterback);</w:t>
      </w:r>
    </w:p>
    <w:p>
      <w:pPr>
        <w:spacing w:after="120" w:line="276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sz w:val="22"/>
          <w:szCs w:val="22"/>
        </w:rPr>
        <w:t xml:space="preserve">Producer will not approach buyers with the project except as part of that process.</w:t>
      </w:r>
    </w:p>
    <w:p>
      <w:pPr>
        <w:spacing w:after="70" w:before="220"/>
      </w:pPr>
      <w:r>
        <w:rPr>
          <w:rFonts w:ascii="Garamond" w:cs="Garamond" w:eastAsia="Garamond" w:hAnsi="Garamond"/>
          <w:b/>
          <w:bCs/>
          <w:spacing w:val="20"/>
          <w:sz w:val="24"/>
          <w:szCs w:val="24"/>
        </w:rPr>
        <w:t xml:space="preserve">6. Scope &amp; exclusivity (keep the counterweight alive)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sz w:val="22"/>
          <w:szCs w:val="22"/>
        </w:rPr>
        <w:t xml:space="preserve">Producer is engaged for </w:t>
      </w:r>
      <w:r>
        <w:rPr>
          <w:rFonts w:ascii="Garamond" w:cs="Garamond" w:eastAsia="Garamond" w:hAnsi="Garamond"/>
          <w:b/>
          <w:bCs/>
          <w:i w:val="false"/>
          <w:iCs w:val="false"/>
          <w:sz w:val="22"/>
          <w:szCs w:val="22"/>
        </w:rPr>
        <w:t xml:space="preserve">specified seasons/schools only.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sz w:val="22"/>
          <w:szCs w:val="22"/>
        </w:rPr>
        <w:t xml:space="preserve"> Company **retains the right to</w:t>
      </w:r>
    </w:p>
    <w:p>
      <w:pPr>
        <w:spacing w:after="120" w:line="276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sz w:val="22"/>
          <w:szCs w:val="22"/>
        </w:rPr>
        <w:t xml:space="preserve">engage other producers** (e.g., Words + Pictures / Connor Schell) for other seasons, schools,</w:t>
      </w:r>
    </w:p>
    <w:p>
      <w:pPr>
        <w:spacing w:after="120" w:line="276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sz w:val="22"/>
          <w:szCs w:val="22"/>
        </w:rPr>
        <w:t xml:space="preserve">or franchise extensions. No blanket franchise-wide production exclusivity to Producer.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sz w:val="22"/>
          <w:szCs w:val="22"/>
        </w:rPr>
        <w:t xml:space="preserve">Any first-look/first-negotiation right for Producer on future seasons, if granted, is **time-</w:t>
      </w:r>
    </w:p>
    <w:p>
      <w:pPr>
        <w:spacing w:after="120" w:line="276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sz w:val="22"/>
          <w:szCs w:val="22"/>
        </w:rPr>
        <w:t xml:space="preserve">limited and non-exclusive**, and does not attach to the franchise IP.</w:t>
      </w:r>
    </w:p>
    <w:p>
      <w:pPr>
        <w:spacing w:after="70" w:before="220"/>
      </w:pPr>
      <w:r>
        <w:rPr>
          <w:rFonts w:ascii="Garamond" w:cs="Garamond" w:eastAsia="Garamond" w:hAnsi="Garamond"/>
          <w:b/>
          <w:bCs/>
          <w:spacing w:val="20"/>
          <w:sz w:val="24"/>
          <w:szCs w:val="24"/>
        </w:rPr>
        <w:t xml:space="preserve">7. Control of basketball operations &amp; compliance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sz w:val="22"/>
          <w:szCs w:val="22"/>
        </w:rPr>
        <w:t xml:space="preserve">Company (Norman) controls basketball operations, school relationships, celebrity/talent</w:t>
      </w:r>
    </w:p>
    <w:p>
      <w:pPr>
        <w:spacing w:after="120" w:line="276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sz w:val="22"/>
          <w:szCs w:val="22"/>
        </w:rPr>
        <w:t xml:space="preserve">sourcing, and the NCAA/NIL/institutional-control compliance framework. Producer controls</w:t>
      </w:r>
    </w:p>
    <w:p>
      <w:pPr>
        <w:spacing w:after="120" w:line="276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sz w:val="22"/>
          <w:szCs w:val="22"/>
        </w:rPr>
        <w:t xml:space="preserve">day-to-day physical production. Producer defers to Company + school approval rights</w:t>
      </w:r>
    </w:p>
    <w:p>
      <w:pPr>
        <w:spacing w:after="120" w:line="276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sz w:val="22"/>
          <w:szCs w:val="22"/>
        </w:rPr>
        <w:t xml:space="preserve">(per school LOIs) on institutional portrayal.</w:t>
      </w:r>
    </w:p>
    <w:p>
      <w:pPr>
        <w:spacing w:after="70" w:before="220"/>
      </w:pPr>
      <w:r>
        <w:rPr>
          <w:rFonts w:ascii="Garamond" w:cs="Garamond" w:eastAsia="Garamond" w:hAnsi="Garamond"/>
          <w:b/>
          <w:bCs/>
          <w:spacing w:val="20"/>
          <w:sz w:val="24"/>
          <w:szCs w:val="24"/>
        </w:rPr>
        <w:t xml:space="preserve">8. Talent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sz w:val="22"/>
          <w:szCs w:val="22"/>
        </w:rPr>
        <w:t xml:space="preserve">Talent (celebrity leads) are sourced/approved jointly and ultimately subject to buyer casting</w:t>
      </w:r>
    </w:p>
    <w:p>
      <w:pPr>
        <w:spacing w:after="120" w:line="276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sz w:val="22"/>
          <w:szCs w:val="22"/>
        </w:rPr>
        <w:t xml:space="preserve">input; </w:t>
      </w:r>
      <w:r>
        <w:rPr>
          <w:rFonts w:ascii="Garamond" w:cs="Garamond" w:eastAsia="Garamond" w:hAnsi="Garamond"/>
          <w:b/>
          <w:bCs/>
          <w:i w:val="false"/>
          <w:iCs w:val="false"/>
          <w:sz w:val="22"/>
          <w:szCs w:val="22"/>
        </w:rPr>
        <w:t xml:space="preserve">no single talent is a condition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sz w:val="22"/>
          <w:szCs w:val="22"/>
        </w:rPr>
        <w:t xml:space="preserve"> of the partnership. Producer does not control</w:t>
      </w:r>
    </w:p>
    <w:p>
      <w:pPr>
        <w:spacing w:after="120" w:line="276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sz w:val="22"/>
          <w:szCs w:val="22"/>
        </w:rPr>
        <w:t xml:space="preserve">talent deals or own talent relationships beyond a given production.</w:t>
      </w:r>
    </w:p>
    <w:p>
      <w:pPr>
        <w:spacing w:after="70" w:before="220"/>
      </w:pPr>
      <w:r>
        <w:rPr>
          <w:rFonts w:ascii="Garamond" w:cs="Garamond" w:eastAsia="Garamond" w:hAnsi="Garamond"/>
          <w:b/>
          <w:bCs/>
          <w:spacing w:val="20"/>
          <w:sz w:val="24"/>
          <w:szCs w:val="24"/>
        </w:rPr>
        <w:t xml:space="preserve">9. Confidentiality &amp; non-circumvention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sz w:val="22"/>
          <w:szCs w:val="22"/>
        </w:rPr>
        <w:t xml:space="preserve">Mutual NDA + non-circumvention (Company's existing 5-yr / 3-yr non-circ template applies):</w:t>
      </w:r>
    </w:p>
    <w:p>
      <w:pPr>
        <w:spacing w:after="120" w:line="276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sz w:val="22"/>
          <w:szCs w:val="22"/>
        </w:rPr>
        <w:t xml:space="preserve">Producer will not use, replicate, or pursue the concept, schools, talent, or format outside</w:t>
      </w:r>
    </w:p>
    <w:p>
      <w:pPr>
        <w:spacing w:after="120" w:line="276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sz w:val="22"/>
          <w:szCs w:val="22"/>
        </w:rPr>
        <w:t xml:space="preserve">this partnership, or bring a competing basketball-transformation franchise to a buyer.</w:t>
      </w:r>
    </w:p>
    <w:p>
      <w:pPr>
        <w:spacing w:after="70" w:before="220"/>
      </w:pPr>
      <w:r>
        <w:rPr>
          <w:rFonts w:ascii="Garamond" w:cs="Garamond" w:eastAsia="Garamond" w:hAnsi="Garamond"/>
          <w:b/>
          <w:bCs/>
          <w:spacing w:val="20"/>
          <w:sz w:val="24"/>
          <w:szCs w:val="24"/>
        </w:rPr>
        <w:t xml:space="preserve">10. Term, approvals, termination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sz w:val="22"/>
          <w:szCs w:val="22"/>
        </w:rPr>
        <w:t xml:space="preserve">Defined term per engaged season(s); Company approval over franchise-brand-affecting creative;</w:t>
      </w:r>
    </w:p>
    <w:p>
      <w:pPr>
        <w:spacing w:after="120" w:line="276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sz w:val="22"/>
          <w:szCs w:val="22"/>
        </w:rPr>
        <w:t xml:space="preserve">standard termination/turnaround provisions; work-for-hire on production deliverables with</w:t>
      </w:r>
    </w:p>
    <w:p>
      <w:pPr>
        <w:spacing w:after="120" w:line="276"/>
      </w:pPr>
      <w:r>
        <w:rPr>
          <w:rFonts w:ascii="Garamond" w:cs="Garamond" w:eastAsia="Garamond" w:hAnsi="Garamond"/>
          <w:b/>
          <w:bCs/>
          <w:i w:val="false"/>
          <w:iCs w:val="false"/>
          <w:sz w:val="22"/>
          <w:szCs w:val="22"/>
        </w:rPr>
        <w:t xml:space="preserve">all franchise/format IP vesting in Company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after="70" w:before="220"/>
      </w:pPr>
      <w:r>
        <w:rPr>
          <w:rFonts w:ascii="Garamond" w:cs="Garamond" w:eastAsia="Garamond" w:hAnsi="Garamond"/>
          <w:b/>
          <w:bCs/>
          <w:spacing w:val="20"/>
          <w:sz w:val="24"/>
          <w:szCs w:val="24"/>
        </w:rPr>
        <w:t xml:space="preserve">11. Governing law / next step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sz w:val="22"/>
          <w:szCs w:val="22"/>
        </w:rPr>
        <w:t xml:space="preserve">Governing law TBD (align with Cinderella Corp entity — Delaware/NY). Non-binding except any</w:t>
      </w:r>
    </w:p>
    <w:p>
      <w:pPr>
        <w:spacing w:after="120" w:line="276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sz w:val="22"/>
          <w:szCs w:val="22"/>
        </w:rPr>
        <w:t xml:space="preserve">confidentiality/non-circ provisions the parties agree to make binding. **Loeb to convert to a</w:t>
      </w:r>
    </w:p>
    <w:p>
      <w:pPr>
        <w:spacing w:after="120" w:line="276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sz w:val="22"/>
          <w:szCs w:val="22"/>
        </w:rPr>
        <w:t xml:space="preserve">definitive Production Services / Co-Production Agreement.**</w:t>
      </w:r>
    </w:p>
    <w:p>
      <w:pPr>
        <w:pBdr>
          <w:bottom w:val="single" w:color="999999" w:sz="6" w:space="6"/>
        </w:pBdr>
        <w:spacing w:after="120" w:before="80"/>
      </w:pPr>
      <w:r>
        <w:rPr>
          <w:rFonts w:ascii="Garamond" w:cs="Garamond" w:eastAsia="Garamond" w:hAnsi="Garamond"/>
          <w:sz w:val="2"/>
          <w:szCs w:val="2"/>
        </w:rPr>
        <w:t xml:space="preserve"/>
      </w:r>
    </w:p>
    <w:p>
      <w:pPr>
        <w:spacing w:after="120" w:line="276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sz w:val="22"/>
          <w:szCs w:val="22"/>
        </w:rPr>
        <w:t xml:space="preserve">_Bottom line the sheet protects: Company keeps the **franchise, format, brand, created-by,</w:t>
      </w:r>
    </w:p>
    <w:p>
      <w:pPr>
        <w:spacing w:after="120" w:line="276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sz w:val="22"/>
          <w:szCs w:val="22"/>
        </w:rPr>
        <w:t xml:space="preserve">distribution, and future-season economics</w:t>
      </w:r>
      <w:r>
        <w:rPr>
          <w:rFonts w:ascii="Garamond" w:cs="Garamond" w:eastAsia="Garamond" w:hAnsi="Garamond"/>
          <w:b/>
          <w:bCs/>
          <w:i w:val="false"/>
          <w:iCs w:val="false"/>
          <w:sz w:val="22"/>
          <w:szCs w:val="22"/>
        </w:rPr>
        <w:t xml:space="preserve">; EverWonder gets a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sz w:val="22"/>
          <w:szCs w:val="22"/>
        </w:rPr>
        <w:t xml:space="preserve">fair, defined production deal</w:t>
      </w:r>
    </w:p>
    <w:p>
      <w:pPr>
        <w:spacing w:after="120" w:line="276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sz w:val="22"/>
          <w:szCs w:val="22"/>
        </w:rPr>
        <w:t xml:space="preserve">on the seasons it makes** — and cannot become the owner of, or sole gatekeeper to, the buyer</w:t>
      </w:r>
    </w:p>
    <w:p>
      <w:pPr>
        <w:spacing w:after="120" w:line="276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sz w:val="22"/>
          <w:szCs w:val="22"/>
        </w:rPr>
        <w:t xml:space="preserve">relationship or the IP._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00"/>
      </w:pPr>
    </w:lvl>
    <w:lvl w:ilvl="1" w15:tentative="1">
      <w:start w:val="1"/>
      <w:numFmt w:val="bullet"/>
      <w:lvlText w:val="◦"/>
      <w:lvlJc w:val="start"/>
      <w:pPr>
        <w:ind w:left="7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aramond" w:cs="Garamond" w:eastAsia="Garamond" w:hAnsi="Garamon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2026-08-06T00:58:35.621Z</dcterms:created>
  <dcterms:modified xsi:type="dcterms:W3CDTF">2026-08-06T00:58:35.621Z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