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ormorant Garamond" w:cs="Cormorant Garamond" w:eastAsia="Cormorant Garamond" w:hAnsi="Cormorant Garamond"/>
          <w:b/>
          <w:bCs/>
          <w:caps/>
          <w:sz w:val="40"/>
          <w:szCs w:val="40"/>
        </w:rPr>
        <w:t xml:space="preserve">MAKING CINDERELLA</w:t>
      </w:r>
    </w:p>
    <w:p>
      <w:pPr>
        <w:spacing w:after="120" w:line="264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A multi-season sports-entertainment franchise · Cinderella Corp.</w:t>
      </w:r>
    </w:p>
    <w:p>
      <w:pPr>
        <w:spacing w:after="120" w:line="264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The Cinderella run — engineered. A celebrity, private capital, and an overlooked Division I basketball program, transformed into a national phenomenon and captured as a premium docuseries. Welcome to Wrexham for American college hoops — but a franchise, not a one-off.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The Concept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Every March, one unknown team captures the entire country.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Making Cinderella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manufactures that magic on purpose: pair an authentic celebrity with a program that has a real story, inject the capital and roster talent to make it win, and film the transformation across a season — the town, the students, the coaches, the gambles, the run. A story about place, people, and purpose, told through basketball.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The rules finally allow it.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NIL and the House settlement make it legal, for the first time, to fund rosters through legitimate third-party deals.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Streamers are in a live-sports gold rush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and college basketball's non-conference schedule is unclaimed live inventory.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The underdog format is proven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(Welcome to Wrexham, Last Chance U) — but no one owns the </w:t>
      </w:r>
      <w:r>
        <w:rPr>
          <w:rFonts w:ascii="Garamond" w:cs="Garamond" w:eastAsia="Garamond" w:hAnsi="Garamond"/>
          <w:b w:val="false"/>
          <w:bCs w:val="false"/>
          <w:i/>
          <w:iCs/>
          <w:sz w:val="22"/>
          <w:szCs w:val="22"/>
        </w:rPr>
        <w:t xml:space="preserve">franchise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version: multiple schools, authentic stars, and real March stakes built in.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The Format — A Multi-School Season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 portfolio of programs, not one team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so no single March result makes or breaks the season, and every episode carries a live stake.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Authentic pairings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each school matched to a celebrity with a genuine tie (alumnus, hometown hero, adopted city). The bond is the 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 season-long transformation arc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the roster build, the climb up the standings, the rivalries, the run.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Live, ownable inventory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marquee non-conference "money games" moved to neutral sites and packaged as live events.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What Comes With 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 signed and growing slate of exclusive school LOIs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ready to 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An NBA-caliber basketball operating system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team selection, roster and portal strategy, scheduling, in-season tournaments — the part a content company cannot 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Compliance, solved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an NIL and institutional-control framework built with lead counsel; no legal risk to the platform.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 premium production partner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attached to produce.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International upside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an Asia / China distribution track already in motion.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Why It Can't Just Be Copied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The idea isn't the asset — the </w:t>
      </w:r>
      <w:r>
        <w:rPr>
          <w:rFonts w:ascii="Garamond" w:cs="Garamond" w:eastAsia="Garamond" w:hAnsi="Garamond"/>
          <w:b w:val="false"/>
          <w:bCs w:val="false"/>
          <w:i/>
          <w:iCs/>
          <w:sz w:val="22"/>
          <w:szCs w:val="22"/>
        </w:rPr>
        <w:t xml:space="preserve">system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is: exclusive school relationships, the basketball operating capability, the compliance architecture, the celebrity pairings, and the franchise brand. A partner can license a turnkey franchise — or spend years trying to build a sports-operations arm it never wanted.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The Offer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Cinderella Corp. brings the franchise, the schools, the operating system, and the talent pairings.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We are looking for the platform partner to bring it to the world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a season license, live-event rights, and a multi-season franchise built together. Cinderella Corp. retains the format and franchise; the platform gets the show, the reach, and the live games.</w:t>
      </w:r>
    </w:p>
    <w:p>
      <w:pPr>
        <w:pBdr>
          <w:bottom w:val="single" w:color="999999" w:sz="6" w:space="6"/>
        </w:pBdr>
        <w:spacing w:after="120" w:before="80"/>
      </w:pPr>
      <w:r>
        <w:rPr>
          <w:rFonts w:ascii="Garamond" w:cs="Garamond" w:eastAsia="Garamond" w:hAnsi="Garamond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Norman C. de Silva — Founder &amp; CEO, Cinderella Corp.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508-493-2857 · norman.desilva@gmail.com · cinderella.short.gy/deck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2026-08-06T00:58:35.499Z</dcterms:created>
  <dcterms:modified xsi:type="dcterms:W3CDTF">2026-08-06T00:58:35.516Z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