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ormorant Garamond" w:cs="Cormorant Garamond" w:eastAsia="Cormorant Garamond" w:hAnsi="Cormorant Garamond"/>
          <w:b/>
          <w:bCs/>
          <w:caps w:val="false"/>
          <w:sz w:val="40"/>
          <w:szCs w:val="40"/>
        </w:rPr>
        <w:t xml:space="preserve">Cinderella Corp.</w:t>
      </w:r>
    </w:p>
    <w:p>
      <w:pPr>
        <w:pBdr>
          <w:bottom w:val="single" w:color="333333" w:sz="6" w:space="6"/>
        </w:pBdr>
        <w:spacing w:after="60"/>
        <w:jc w:val="center"/>
      </w:pPr>
      <w:r>
        <w:rPr>
          <w:rFonts w:ascii="Garamond" w:cs="Garamond" w:eastAsia="Garamond" w:hAnsi="Garamond"/>
          <w:i/>
          <w:iCs/>
          <w:color w:val="555555"/>
          <w:sz w:val="18"/>
          <w:szCs w:val="18"/>
        </w:rPr>
        <w:t xml:space="preserve">A Delaware Corporation</w:t>
      </w:r>
    </w:p>
    <w:p>
      <w:pPr>
        <w:spacing w:after="260" w:before="200"/>
        <w:jc w:val="center"/>
      </w:pPr>
      <w:r>
        <w:rPr>
          <w:rFonts w:ascii="Garamond" w:cs="Garamond" w:eastAsia="Garamond" w:hAnsi="Garamond"/>
          <w:b/>
          <w:bCs/>
          <w:caps/>
          <w:spacing w:val="30"/>
          <w:sz w:val="26"/>
          <w:szCs w:val="26"/>
        </w:rPr>
        <w:t xml:space="preserve">Founder Restricted Stock Purchase Agreement</w:t>
      </w:r>
    </w:p>
    <w:p>
      <w:pPr>
        <w:spacing w:after="160" w:before="0" w:line="276"/>
        <w:jc w:val="both"/>
      </w:pPr>
      <w:r>
        <w:rPr>
          <w:rFonts w:ascii="Garamond" w:cs="Garamond" w:eastAsia="Garamond" w:hAnsi="Garamond"/>
          <w:sz w:val="22"/>
          <w:szCs w:val="22"/>
        </w:rPr>
        <w:t xml:space="preserve">This Founder Restricted Stock Purchase Agreement (this “Agreement”) is made as of ____________, 2026 (the “Grant Date”) between Cinderella Corp., a Delaware corporation (the “Company”), and Norman C. de Silva (the “Purchaser”).</w:t>
      </w:r>
    </w:p>
    <w:p>
      <w:pPr>
        <w:spacing w:after="120" w:before="220"/>
      </w:pPr>
      <w:r>
        <w:rPr>
          <w:rFonts w:ascii="Garamond" w:cs="Garamond" w:eastAsia="Garamond" w:hAnsi="Garamond"/>
          <w:b/>
          <w:bCs/>
          <w:caps/>
          <w:spacing w:val="20"/>
          <w:sz w:val="22"/>
          <w:szCs w:val="22"/>
        </w:rPr>
        <w:t xml:space="preserve">1. Purchase of Shares</w:t>
      </w:r>
    </w:p>
    <w:p>
      <w:pPr>
        <w:spacing w:after="160" w:before="0" w:line="276"/>
        <w:jc w:val="both"/>
      </w:pPr>
      <w:r>
        <w:rPr>
          <w:rFonts w:ascii="Garamond" w:cs="Garamond" w:eastAsia="Garamond" w:hAnsi="Garamond"/>
          <w:sz w:val="22"/>
          <w:szCs w:val="22"/>
        </w:rPr>
        <w:t xml:space="preserve">The Company sells and the Purchaser buys 3,000,000 shares of Common Stock (the “Shares”) at $0.001 per share, aggregate $3,000.00, payable by cash and/or by offset of the amount credited on the repurchase and cancellation of the Purchaser’s prior shares. Because the repurchase price and the new purchase price are identical, the net cash payable by the Purchaser is approximately zero.</w:t>
      </w:r>
    </w:p>
    <w:p>
      <w:pPr>
        <w:spacing w:after="120" w:before="220"/>
      </w:pPr>
      <w:r>
        <w:rPr>
          <w:rFonts w:ascii="Garamond" w:cs="Garamond" w:eastAsia="Garamond" w:hAnsi="Garamond"/>
          <w:b/>
          <w:bCs/>
          <w:caps/>
          <w:spacing w:val="20"/>
          <w:sz w:val="22"/>
          <w:szCs w:val="22"/>
        </w:rPr>
        <w:t xml:space="preserve">2. Vesting and Repurchase Option</w:t>
      </w:r>
    </w:p>
    <w:p>
      <w:pPr>
        <w:spacing w:after="100" w:line="276"/>
        <w:ind w:left="720" w:hanging="260"/>
        <w:jc w:val="both"/>
      </w:pPr>
      <w:r>
        <w:rPr>
          <w:rFonts w:ascii="Garamond" w:cs="Garamond" w:eastAsia="Garamond" w:hAnsi="Garamond"/>
          <w:sz w:val="22"/>
          <w:szCs w:val="22"/>
        </w:rPr>
        <w:t xml:space="preserve">•	</w:t>
      </w:r>
      <w:r>
        <w:rPr>
          <w:rFonts w:ascii="Garamond" w:cs="Garamond" w:eastAsia="Garamond" w:hAnsi="Garamond"/>
          <w:sz w:val="22"/>
          <w:szCs w:val="22"/>
        </w:rPr>
        <w:t xml:space="preserve">Total vesting period: four (4) years.</w:t>
      </w:r>
    </w:p>
    <w:p>
      <w:pPr>
        <w:spacing w:after="100" w:line="276"/>
        <w:ind w:left="720" w:hanging="260"/>
        <w:jc w:val="both"/>
      </w:pPr>
      <w:r>
        <w:rPr>
          <w:rFonts w:ascii="Garamond" w:cs="Garamond" w:eastAsia="Garamond" w:hAnsi="Garamond"/>
          <w:sz w:val="22"/>
          <w:szCs w:val="22"/>
        </w:rPr>
        <w:t xml:space="preserve">•	</w:t>
      </w:r>
      <w:r>
        <w:rPr>
          <w:rFonts w:ascii="Garamond" w:cs="Garamond" w:eastAsia="Garamond" w:hAnsi="Garamond"/>
          <w:sz w:val="22"/>
          <w:szCs w:val="22"/>
        </w:rPr>
        <w:t xml:space="preserve">Cliff: 25% (750,000 shares) vest on the first anniversary of the Vesting Commencement Date.</w:t>
      </w:r>
    </w:p>
    <w:p>
      <w:pPr>
        <w:spacing w:after="100" w:line="276"/>
        <w:ind w:left="720" w:hanging="260"/>
        <w:jc w:val="both"/>
      </w:pPr>
      <w:r>
        <w:rPr>
          <w:rFonts w:ascii="Garamond" w:cs="Garamond" w:eastAsia="Garamond" w:hAnsi="Garamond"/>
          <w:sz w:val="22"/>
          <w:szCs w:val="22"/>
        </w:rPr>
        <w:t xml:space="preserve">•	</w:t>
      </w:r>
      <w:r>
        <w:rPr>
          <w:rFonts w:ascii="Garamond" w:cs="Garamond" w:eastAsia="Garamond" w:hAnsi="Garamond"/>
          <w:sz w:val="22"/>
          <w:szCs w:val="22"/>
        </w:rPr>
        <w:t xml:space="preserve">Thereafter: the remaining 75% vest in 36 equal monthly installments.</w:t>
      </w:r>
    </w:p>
    <w:p>
      <w:pPr>
        <w:spacing w:after="100" w:line="276"/>
        <w:ind w:left="720" w:hanging="260"/>
        <w:jc w:val="both"/>
      </w:pPr>
      <w:r>
        <w:rPr>
          <w:rFonts w:ascii="Garamond" w:cs="Garamond" w:eastAsia="Garamond" w:hAnsi="Garamond"/>
          <w:sz w:val="22"/>
          <w:szCs w:val="22"/>
        </w:rPr>
        <w:t xml:space="preserve">•	</w:t>
      </w:r>
      <w:r>
        <w:rPr>
          <w:rFonts w:ascii="Garamond" w:cs="Garamond" w:eastAsia="Garamond" w:hAnsi="Garamond"/>
          <w:sz w:val="22"/>
          <w:szCs w:val="22"/>
        </w:rPr>
        <w:t xml:space="preserve">Vesting Commencement Date: the Grant Date set forth above.</w:t>
      </w:r>
    </w:p>
    <w:p>
      <w:pPr>
        <w:spacing w:after="100" w:line="276"/>
        <w:ind w:left="720" w:hanging="260"/>
        <w:jc w:val="both"/>
      </w:pPr>
      <w:r>
        <w:rPr>
          <w:rFonts w:ascii="Garamond" w:cs="Garamond" w:eastAsia="Garamond" w:hAnsi="Garamond"/>
          <w:sz w:val="22"/>
          <w:szCs w:val="22"/>
        </w:rPr>
        <w:t xml:space="preserve">•	</w:t>
      </w:r>
      <w:r>
        <w:rPr>
          <w:rFonts w:ascii="Garamond" w:cs="Garamond" w:eastAsia="Garamond" w:hAnsi="Garamond"/>
          <w:sz w:val="22"/>
          <w:szCs w:val="22"/>
        </w:rPr>
        <w:t xml:space="preserve">Repurchase Option: unvested Shares are repurchasable by the Company at $0.001 per share if the Purchaser’s service to the Company ends for any reason.</w:t>
      </w:r>
    </w:p>
    <w:p>
      <w:pPr>
        <w:spacing w:after="100" w:line="276"/>
        <w:ind w:left="720" w:hanging="260"/>
        <w:jc w:val="both"/>
      </w:pPr>
      <w:r>
        <w:rPr>
          <w:rFonts w:ascii="Garamond" w:cs="Garamond" w:eastAsia="Garamond" w:hAnsi="Garamond"/>
          <w:sz w:val="22"/>
          <w:szCs w:val="22"/>
        </w:rPr>
        <w:t xml:space="preserve">•	</w:t>
      </w:r>
      <w:r>
        <w:rPr>
          <w:rFonts w:ascii="Garamond" w:cs="Garamond" w:eastAsia="Garamond" w:hAnsi="Garamond"/>
          <w:sz w:val="22"/>
          <w:szCs w:val="22"/>
        </w:rPr>
        <w:t xml:space="preserve">Acceleration: the single-trigger and double-trigger change-of-control acceleration terms of the Original SPA are carried forward and apply to the Shares.</w:t>
      </w:r>
    </w:p>
    <w:p>
      <w:pPr>
        <w:spacing w:after="120" w:before="220"/>
      </w:pPr>
      <w:r>
        <w:rPr>
          <w:rFonts w:ascii="Garamond" w:cs="Garamond" w:eastAsia="Garamond" w:hAnsi="Garamond"/>
          <w:b/>
          <w:bCs/>
          <w:caps/>
          <w:spacing w:val="20"/>
          <w:sz w:val="22"/>
          <w:szCs w:val="22"/>
        </w:rPr>
        <w:t xml:space="preserve">3. Restrictions on Transfer</w:t>
      </w:r>
    </w:p>
    <w:p>
      <w:pPr>
        <w:spacing w:after="160" w:before="0" w:line="276"/>
        <w:jc w:val="both"/>
      </w:pPr>
      <w:r>
        <w:rPr>
          <w:rFonts w:ascii="Garamond" w:cs="Garamond" w:eastAsia="Garamond" w:hAnsi="Garamond"/>
          <w:sz w:val="22"/>
          <w:szCs w:val="22"/>
        </w:rPr>
        <w:t xml:space="preserve">The Shares are subject to the Company’s Right of First Refusal on any proposed transfer, a prohibition on transfer of unvested Shares, and customary lock-up / market stand-off provisions, on terms consistent with the Original SPA.</w:t>
      </w:r>
    </w:p>
    <w:p>
      <w:pPr>
        <w:spacing w:after="120" w:before="220"/>
      </w:pPr>
      <w:r>
        <w:rPr>
          <w:rFonts w:ascii="Garamond" w:cs="Garamond" w:eastAsia="Garamond" w:hAnsi="Garamond"/>
          <w:b/>
          <w:bCs/>
          <w:caps/>
          <w:spacing w:val="20"/>
          <w:sz w:val="22"/>
          <w:szCs w:val="22"/>
        </w:rPr>
        <w:t xml:space="preserve">4. Section 83(b) Election</w:t>
      </w:r>
    </w:p>
    <w:p>
      <w:pPr>
        <w:spacing w:after="160" w:before="0" w:line="276"/>
        <w:jc w:val="both"/>
      </w:pPr>
      <w:r>
        <w:rPr>
          <w:rFonts w:ascii="Garamond" w:cs="Garamond" w:eastAsia="Garamond" w:hAnsi="Garamond"/>
          <w:sz w:val="22"/>
          <w:szCs w:val="22"/>
        </w:rPr>
        <w:t xml:space="preserve">The Purchaser acknowledges that it is his sole responsibility to file an election under Section 83(b) of the Internal Revenue Code within thirty (30) days of the Grant Date, that the Company has advised him to consult his own tax advisor, and that failure to timely file is the Purchaser’s risk.</w:t>
      </w:r>
    </w:p>
    <w:p>
      <w:pPr>
        <w:spacing w:after="120" w:before="220"/>
      </w:pPr>
      <w:r>
        <w:rPr>
          <w:rFonts w:ascii="Garamond" w:cs="Garamond" w:eastAsia="Garamond" w:hAnsi="Garamond"/>
          <w:b/>
          <w:bCs/>
          <w:caps/>
          <w:spacing w:val="20"/>
          <w:sz w:val="22"/>
          <w:szCs w:val="22"/>
        </w:rPr>
        <w:t xml:space="preserve">5. Consideration and Intellectual Property</w:t>
      </w:r>
    </w:p>
    <w:p>
      <w:pPr>
        <w:spacing w:after="160" w:before="0" w:line="276"/>
        <w:jc w:val="both"/>
      </w:pPr>
      <w:r>
        <w:rPr>
          <w:rFonts w:ascii="Garamond" w:cs="Garamond" w:eastAsia="Garamond" w:hAnsi="Garamond"/>
          <w:sz w:val="22"/>
          <w:szCs w:val="22"/>
        </w:rPr>
        <w:t xml:space="preserve">The parties confirm that the “Making Cinderella” intellectual property assigned under the Intellectual Property Assignment Agreement dated April 14, 2026 remains assigned to the Company and, together with the Purchaser’s continued service, forms part of the consideration for the Shares.</w:t>
      </w:r>
    </w:p>
    <w:p>
      <w:pPr>
        <w:spacing w:after="120" w:before="220"/>
      </w:pPr>
      <w:r>
        <w:rPr>
          <w:rFonts w:ascii="Garamond" w:cs="Garamond" w:eastAsia="Garamond" w:hAnsi="Garamond"/>
          <w:b/>
          <w:bCs/>
          <w:caps/>
          <w:spacing w:val="20"/>
          <w:sz w:val="22"/>
          <w:szCs w:val="22"/>
        </w:rPr>
        <w:t xml:space="preserve">6. Miscellaneous</w:t>
      </w:r>
    </w:p>
    <w:p>
      <w:pPr>
        <w:spacing w:after="160" w:before="0" w:line="276"/>
        <w:jc w:val="both"/>
      </w:pPr>
      <w:r>
        <w:rPr>
          <w:rFonts w:ascii="Garamond" w:cs="Garamond" w:eastAsia="Garamond" w:hAnsi="Garamond"/>
          <w:sz w:val="22"/>
          <w:szCs w:val="22"/>
        </w:rPr>
        <w:t xml:space="preserve">This Agreement is governed by Delaware law, constitutes the entire agreement of the parties on its subject matter, and supersedes and terminates the Founder Stock Purchase and Restriction Agreement dated April 14, 2026.</w:t>
      </w:r>
    </w:p>
    <w:p>
      <w:pPr>
        <w:pBdr>
          <w:bottom w:val="single" w:color="000000" w:sz="6" w:space="2"/>
        </w:pBdr>
        <w:spacing w:after="40" w:before="32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Cinderella Corp.</w:t>
      </w:r>
    </w:p>
    <w:p>
      <w:pPr>
        <w:spacing w:after="60"/>
      </w:pPr>
      <w:r>
        <w:rPr>
          <w:rFonts w:ascii="Garamond" w:cs="Garamond" w:eastAsia="Garamond" w:hAnsi="Garamond"/>
          <w:b w:val="false"/>
          <w:bCs w:val="false"/>
          <w:sz w:val="22"/>
          <w:szCs w:val="22"/>
        </w:rPr>
        <w:t xml:space="preserve">By: Norman C. de Silva, President</w:t>
      </w:r>
    </w:p>
    <w:p>
      <w:pPr>
        <w:spacing w:after="200" w:before="40"/>
      </w:pPr>
      <w:r>
        <w:rPr>
          <w:rFonts w:ascii="Garamond" w:cs="Garamond" w:eastAsia="Garamond" w:hAnsi="Garamond"/>
          <w:sz w:val="22"/>
          <w:szCs w:val="22"/>
        </w:rPr>
        <w:t xml:space="preserve">Date: </w:t>
      </w:r>
      <w:r>
        <w:rPr>
          <w:rFonts w:ascii="Garamond" w:cs="Garamond" w:eastAsia="Garamond" w:hAnsi="Garamond"/>
          <w:sz w:val="22"/>
          <w:szCs w:val="22"/>
        </w:rPr>
        <w:t xml:space="preserve">___________________</w:t>
      </w:r>
    </w:p>
    <w:p>
      <w:pPr>
        <w:pBdr>
          <w:bottom w:val="single" w:color="000000" w:sz="6" w:space="2"/>
        </w:pBdr>
        <w:spacing w:after="40" w:before="320"/>
        <w:ind w:right="68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Norman C. de Silva</w:t>
      </w:r>
    </w:p>
    <w:p>
      <w:pPr>
        <w:spacing w:after="60"/>
      </w:pPr>
      <w:r>
        <w:rPr>
          <w:rFonts w:ascii="Garamond" w:cs="Garamond" w:eastAsia="Garamond" w:hAnsi="Garamond"/>
          <w:b w:val="false"/>
          <w:bCs w:val="false"/>
          <w:sz w:val="22"/>
          <w:szCs w:val="22"/>
        </w:rPr>
        <w:t xml:space="preserve">Purchaser</w:t>
      </w:r>
    </w:p>
    <w:p>
      <w:pPr>
        <w:spacing w:after="200" w:before="40"/>
      </w:pPr>
      <w:r>
        <w:rPr>
          <w:rFonts w:ascii="Garamond" w:cs="Garamond" w:eastAsia="Garamond" w:hAnsi="Garamond"/>
          <w:sz w:val="22"/>
          <w:szCs w:val="22"/>
        </w:rPr>
        <w:t xml:space="preserve">Date: </w:t>
      </w:r>
      <w:r>
        <w:rPr>
          <w:rFonts w:ascii="Garamond" w:cs="Garamond" w:eastAsia="Garamond" w:hAnsi="Garamond"/>
          <w:sz w:val="22"/>
          <w:szCs w:val="22"/>
        </w:rPr>
        <w:t xml:space="preserve">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rFonts w:ascii="Garamond" w:cs="Garamond" w:eastAsia="Garamond" w:hAnsi="Garamond"/>
        <w:color w:val="888888"/>
        <w:sz w:val="16"/>
        <w:szCs w:val="16"/>
      </w:rPr>
      <w:t xml:space="preserve">Cinderella Corp. — Founder RSPA   ·   Page </w:t>
    </w:r>
    <w:r>
      <w:rPr>
        <w:rFonts w:ascii="Garamond" w:cs="Garamond" w:eastAsia="Garamond" w:hAnsi="Garamond"/>
        <w:color w:val="888888"/>
        <w:sz w:val="16"/>
        <w:szCs w:val="16"/>
      </w:rPr>
      <w:fldChar w:fldCharType="begin"/>
      <w:instrText xml:space="preserve">PAGE</w:instrText>
      <w:fldChar w:fldCharType="separate"/>
      <w:fldChar w:fldCharType="end"/>
    </w:r>
    <w:r>
      <w:rPr>
        <w:rFonts w:ascii="Garamond" w:cs="Garamond" w:eastAsia="Garamond" w:hAnsi="Garamond"/>
        <w:color w:val="888888"/>
        <w:sz w:val="16"/>
        <w:szCs w:val="16"/>
      </w:rPr>
      <w:t xml:space="preserve"> of </w:t>
    </w:r>
    <w:r>
      <w:rPr>
        <w:rFonts w:ascii="Garamond" w:cs="Garamond" w:eastAsia="Garamond" w:hAnsi="Garamond"/>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Cinderella Corp.</dc:creator>
  <cp:lastModifiedBy>Un-named</cp:lastModifiedBy>
  <cp:revision>1</cp:revision>
  <dcterms:created xsi:type="dcterms:W3CDTF">2026-07-22T15:35:29.828Z</dcterms:created>
  <dcterms:modified xsi:type="dcterms:W3CDTF">2026-07-22T15:35:29.828Z</dcterms:modified>
</cp:coreProperties>
</file>

<file path=docProps/custom.xml><?xml version="1.0" encoding="utf-8"?>
<Properties xmlns="http://schemas.openxmlformats.org/officeDocument/2006/custom-properties" xmlns:vt="http://schemas.openxmlformats.org/officeDocument/2006/docPropsVTypes"/>
</file>