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Beyond Translation: Ontology-Grounded Approaches to Culturally Faithful AI for Low-Resource Languages</w:t>
      </w:r>
    </w:p>
    <w:p>
      <w:pPr>
        <w:spacing w:after="360"/>
        <w:jc w:val="center"/>
      </w:pPr>
      <w:r>
        <w:rPr>
          <w:rFonts w:ascii="Times New Roman" w:cs="Times New Roman" w:eastAsia="Times New Roman" w:hAnsi="Times New Roman"/>
          <w:sz w:val="24"/>
          <w:szCs w:val="24"/>
        </w:rPr>
        <w:t xml:space="preserve">Watson Ndethi
</w:t>
      </w:r>
      <w:r>
        <w:rPr>
          <w:rFonts w:ascii="Times New Roman" w:cs="Times New Roman" w:eastAsia="Times New Roman" w:hAnsi="Times New Roman"/>
          <w:sz w:val="22"/>
          <w:szCs w:val="22"/>
        </w:rPr>
        <w:t xml:space="preserve">Open Institute of Technology, Malta
</w:t>
      </w:r>
      <w:r>
        <w:rPr>
          <w:rFonts w:ascii="Times New Roman" w:cs="Times New Roman" w:eastAsia="Times New Roman" w:hAnsi="Times New Roman"/>
          <w:sz w:val="22"/>
          <w:szCs w:val="22"/>
        </w:rPr>
        <w:t xml:space="preserve">Pharo Foundation, Kenya
</w:t>
      </w:r>
      <w:r>
        <w:rPr>
          <w:rFonts w:ascii="Times New Roman" w:cs="Times New Roman" w:eastAsia="Times New Roman" w:hAnsi="Times New Roman"/>
          <w:sz w:val="22"/>
          <w:szCs w:val="22"/>
        </w:rPr>
        <w:t xml:space="preserve">wndethi@gmail.com</w:t>
      </w:r>
    </w:p>
    <w:p>
      <w:pPr>
        <w:pStyle w:val="Heading2"/>
      </w:pPr>
      <w:r>
        <w:t xml:space="preserve">ABSTRACT</w:t>
      </w:r>
    </w:p>
    <w:p>
      <w:pPr>
        <w:spacing w:after="240"/>
        <w:jc w:val="both"/>
      </w:pPr>
      <w:r>
        <w:t xml:space="preserve">AI translation systems for low-resource languages typically prioritize surface-level accuracy over cultural authenticity, resulting in outputs that are grammatically correct but culturally meaningless. This paper presents an ontology-grounded Retrieval Augmented Generation (OG-RAG) approach for culturally faithful Kikuyu-to-English proverb translation that addresses this gap through structured knowledge representation. By constructing a domain-specific ontology that captures proverbs' literal meanings, metaphorical interpretations, cultural themes, and appropriate usage contexts, we demonstrate how explicit cultural knowledge structuring can guide Large Language Models toward translations that preserve both linguistic and sociocultural meaning. Our participatory methodology involves native Kikuyu speakers and cultural experts in ontology development, moving beyond extractive data collection toward community-centered AI design. We propose a novel evaluation framework that centers cultural fidelity alongside accuracy and fluency, challenging Western metrics that fail to capture cultural authenticity. This work contributes to broader HCI discourse on how AI systems can engage with collectively-held cultural knowledge while respecting indigenous epistemologies and data sovereignty principles.</w:t>
      </w:r>
    </w:p>
    <w:p>
      <w:pPr>
        <w:spacing w:after="36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Low-resource languages; cultural computing; ontology-grounded RAG; participatory design; AI evaluation; knowledge representation; Kikuyu; African HCI</w:t>
      </w:r>
    </w:p>
    <w:p>
      <w:pPr>
        <w:pStyle w:val="Heading1"/>
      </w:pPr>
      <w:r>
        <w:t xml:space="preserve">1. INTRODUCTION</w:t>
      </w:r>
    </w:p>
    <w:p>
      <w:pPr>
        <w:spacing w:after="120"/>
        <w:jc w:val="both"/>
      </w:pPr>
      <w:r>
        <w:rPr>
          <w:rFonts w:ascii="Times New Roman" w:cs="Times New Roman" w:eastAsia="Times New Roman" w:hAnsi="Times New Roman"/>
          <w:sz w:val="22"/>
          <w:szCs w:val="22"/>
        </w:rPr>
        <w:t xml:space="preserve">Consider the Kikuyu proverb </w:t>
      </w:r>
      <w:r>
        <w:rPr>
          <w:rFonts w:ascii="Times New Roman" w:cs="Times New Roman" w:eastAsia="Times New Roman" w:hAnsi="Times New Roman"/>
          <w:i/>
          <w:iCs/>
          <w:sz w:val="22"/>
          <w:szCs w:val="22"/>
        </w:rPr>
        <w:t xml:space="preserve">"Mũthia ũrĩa ũtagiira na gĩa nyina ndakaniĩragĩra."</w:t>
      </w:r>
      <w:r>
        <w:rPr>
          <w:rFonts w:ascii="Times New Roman" w:cs="Times New Roman" w:eastAsia="Times New Roman" w:hAnsi="Times New Roman"/>
          <w:sz w:val="22"/>
          <w:szCs w:val="22"/>
        </w:rPr>
        <w:t xml:space="preserve"> A direct translation yields: "A pestle that doesn't pound with its mother's one becomes useless." While grammatically coherent, this English rendering strips away layers of cultural meaning that Kikuyu speakers immediately recognize—the proverb teaches children about learning from elders, respecting traditional knowledge transmission, and understanding one's role within intergenerational community structures. The pestle isn't merely a kitchen tool; it's a metaphor for youth, and the "mother's pestle" represents accumulated wisdom and established practices. Without this cultural grounding, the translation preserves words but erases meaning.</w:t>
      </w:r>
    </w:p>
    <w:p>
      <w:pPr>
        <w:spacing w:after="120"/>
        <w:jc w:val="both"/>
      </w:pPr>
      <w:r>
        <w:rPr>
          <w:rFonts w:ascii="Times New Roman" w:cs="Times New Roman" w:eastAsia="Times New Roman" w:hAnsi="Times New Roman"/>
          <w:sz w:val="22"/>
          <w:szCs w:val="22"/>
        </w:rPr>
        <w:t xml:space="preserve">This problem extends far beyond individual mistranslations. As AI systems increasingly mediate how cultural knowledge is documented, transmitted, and preserved in digital spaces, their inability to maintain cultural authenticity accelerates what we term "digital cultural erosion"—the gradual loss of nuanced meaning that occurs when oral traditions are translated through systems optimized for surface-level linguistic patterns rather than deep cultural understanding. For Kenya's approximately 7 million Kikuyu speakers and countless other communities with low-resource languages worldwide, this represents an urgent challenge at the intersection of technology design, cultural preservation, and linguistic justice.</w:t>
      </w:r>
    </w:p>
    <w:p>
      <w:pPr>
        <w:spacing w:after="120"/>
        <w:jc w:val="both"/>
      </w:pPr>
      <w:r>
        <w:rPr>
          <w:rFonts w:ascii="Times New Roman" w:cs="Times New Roman" w:eastAsia="Times New Roman" w:hAnsi="Times New Roman"/>
          <w:sz w:val="22"/>
          <w:szCs w:val="22"/>
        </w:rPr>
        <w:t xml:space="preserve">The challenge is fundamentally epistemological, not merely technical. Western AI development paradigms assume individual knowledge ownership—the GDPR's consent model, standard dataset licensing, and even evaluation metrics like BLEU presume discrete, individually-attributable content. However, Kikuyu proverbs, like much indigenous knowledge, are collectively held cultural artifacts with no individual "author" to provide training data consent. When we apply extractive data collection methods designed for individually-owned content to collectively-held cultural knowledge, we perpetuate digital colonialism under the guise of language preservation.</w:t>
      </w:r>
    </w:p>
    <w:p>
      <w:pPr>
        <w:spacing w:after="240"/>
        <w:jc w:val="both"/>
      </w:pPr>
      <w:r>
        <w:rPr>
          <w:rFonts w:ascii="Times New Roman" w:cs="Times New Roman" w:eastAsia="Times New Roman" w:hAnsi="Times New Roman"/>
          <w:sz w:val="22"/>
          <w:szCs w:val="22"/>
        </w:rPr>
        <w:t xml:space="preserve">This paper presents an ontology-grounded approach that reconceptualizes AI translation for low-resource languages as a Human-Computer Interaction challenge requiring participatory design, cultural competency, and novel evaluation frameworks. Rather than treating cultural context as supplementary annotation, we structure it as the foundational knowledge base that guides generation. Through close collaboration with native Kikuyu speakers and cultural experts in developing a proverb ontology, we demonstrate that when data is scarce, </w:t>
      </w:r>
      <w:r>
        <w:rPr>
          <w:rFonts w:ascii="Times New Roman" w:cs="Times New Roman" w:eastAsia="Times New Roman" w:hAnsi="Times New Roman"/>
          <w:i/>
          <w:iCs/>
          <w:sz w:val="22"/>
          <w:szCs w:val="22"/>
        </w:rPr>
        <w:t xml:space="preserve">quality of knowledge representation matters more than quantity of text</w:t>
      </w:r>
      <w:r>
        <w:rPr>
          <w:rFonts w:ascii="Times New Roman" w:cs="Times New Roman" w:eastAsia="Times New Roman" w:hAnsi="Times New Roman"/>
          <w:sz w:val="22"/>
          <w:szCs w:val="22"/>
        </w:rPr>
        <w:t xml:space="preserve">. Our work contributes to HCI scholarship on culturally-situated AI by demonstrating how technical design choices encode values about whose knowledge counts and how cultural authenticity should be evaluated.</w:t>
      </w:r>
    </w:p>
    <w:p>
      <w:pPr>
        <w:pStyle w:val="Heading1"/>
      </w:pPr>
      <w:r>
        <w:t xml:space="preserve">2. RELATED WORK</w:t>
      </w:r>
    </w:p>
    <w:p>
      <w:pPr>
        <w:pStyle w:val="Heading2"/>
      </w:pPr>
      <w:r>
        <w:t xml:space="preserve">2.1 Low-Resource Language NLP and Cultural Gaps</w:t>
      </w:r>
    </w:p>
    <w:p>
      <w:pPr>
        <w:spacing w:after="120"/>
        <w:jc w:val="both"/>
      </w:pPr>
      <w:r>
        <w:rPr>
          <w:rFonts w:ascii="Times New Roman" w:cs="Times New Roman" w:eastAsia="Times New Roman" w:hAnsi="Times New Roman"/>
          <w:sz w:val="22"/>
          <w:szCs w:val="22"/>
        </w:rPr>
        <w:t xml:space="preserve">Recent work on Retrieval Augmented Generation (RAG) for low-resource languages has shown improved performance over baseline LLMs by incorporating external knowledge bases. Huang et al.'s work on Hakka translation demonstrated that RAG systems with targeted knowledge bases achieve superior BLEU scores compared to standalone LLMs [15]. However, these approaches typically use unstructured text retrieval based on vector similarity, which fails to preserve the relational structure of cultural knowledge [7]. When a proverb's meaning depends on understanding relationships between metaphors, historical contexts, and social roles, fragmentary text chunks cannot provide adequate grounding.</w:t>
      </w:r>
    </w:p>
    <w:p>
      <w:pPr>
        <w:spacing w:after="240"/>
        <w:jc w:val="both"/>
      </w:pPr>
      <w:r>
        <w:rPr>
          <w:rFonts w:ascii="Times New Roman" w:cs="Times New Roman" w:eastAsia="Times New Roman" w:hAnsi="Times New Roman"/>
          <w:sz w:val="22"/>
          <w:szCs w:val="22"/>
        </w:rPr>
        <w:t xml:space="preserve">Furthermore, the emphasis on data quantity over quality has led to what Nekoto et al. term the "low-resource paradox"—massive dataset collection efforts that accumulate text without cultural validation [21]. For languages like Kikuyu, this approach risks encoding cultural misunderstandings at scale, as internet text often reflects diaspora perspectives or missionary translations rather than authentic community usage.</w:t>
      </w:r>
    </w:p>
    <w:p>
      <w:pPr>
        <w:pStyle w:val="Heading2"/>
      </w:pPr>
      <w:r>
        <w:t xml:space="preserve">2.2 Cultural Computing and Value-Sensitive Design</w:t>
      </w:r>
    </w:p>
    <w:p>
      <w:pPr>
        <w:spacing w:after="120"/>
        <w:jc w:val="both"/>
      </w:pPr>
      <w:r>
        <w:rPr>
          <w:rFonts w:ascii="Times New Roman" w:cs="Times New Roman" w:eastAsia="Times New Roman" w:hAnsi="Times New Roman"/>
          <w:sz w:val="22"/>
          <w:szCs w:val="22"/>
        </w:rPr>
        <w:t xml:space="preserve">The HCI community has long recognized that technology design encodes cultural values. Irani et al.'s work on postcolonial computing demonstrates how Western design patterns reproduce power imbalances when deployed in Global South contexts [16]. Bardzell and Bardzell's value-sensitive design framework emphasizes stakeholder analysis and participatory methods for identifying whose values are embedded in systems [2]. However, these frameworks have remained largely theoretical in NLP applications, with few demonstrations of how participatory design principles translate to technical architecture decisions in language AI.</w:t>
      </w:r>
    </w:p>
    <w:p>
      <w:pPr>
        <w:spacing w:after="240"/>
        <w:jc w:val="both"/>
      </w:pPr>
      <w:r>
        <w:rPr>
          <w:rFonts w:ascii="Times New Roman" w:cs="Times New Roman" w:eastAsia="Times New Roman" w:hAnsi="Times New Roman"/>
          <w:sz w:val="22"/>
          <w:szCs w:val="22"/>
        </w:rPr>
        <w:t xml:space="preserve">Concurrent work in cultural computing emphasizes the need for culturally-aware evaluation beyond standard metrics [29]. Yet as Sambasivan et al. observe, even well-intentioned projects often treat "cultural context" as metadata to be collected rather than as the epistemic foundation that should guide system design [26]. Our work responds to Nkomo and Comaroff's call for African AI that centers indigenous knowledge systems rather than adapting Western frameworks [22].</w:t>
      </w:r>
    </w:p>
    <w:p>
      <w:pPr>
        <w:pStyle w:val="Heading2"/>
      </w:pPr>
      <w:r>
        <w:t xml:space="preserve">2.3 Ontologies for Cultural Heritage</w:t>
      </w:r>
    </w:p>
    <w:p>
      <w:pPr>
        <w:spacing w:after="240"/>
        <w:jc w:val="both"/>
      </w:pPr>
      <w:r>
        <w:rPr>
          <w:rFonts w:ascii="Times New Roman" w:cs="Times New Roman" w:eastAsia="Times New Roman" w:hAnsi="Times New Roman"/>
          <w:sz w:val="22"/>
          <w:szCs w:val="22"/>
        </w:rPr>
        <w:t xml:space="preserve">Knowledge representation through formal ontologies has proven effective for cultural heritage documentation. The CIDOC Conceptual Reference Model provides standardized ways to represent museum artifacts and their provenance [8]. Patel et al. demonstrated that ontology-structured knowledge enhances LLM factual accuracy by providing explicit relational context [23]. However, existing cultural heritage ontologies focus on physical artifacts and historical documentation rather than living oral traditions. Moreover, they remain largely disconnected from NLP systems—serving as archival resources but not as active components guiding AI generation. Our work bridges this gap by demonstrating how formal ontologies can structure knowledge graphs that directly inform LLM-based translation.</w:t>
      </w:r>
    </w:p>
    <w:p>
      <w:pPr>
        <w:pStyle w:val="Heading1"/>
      </w:pPr>
      <w:r>
        <w:t xml:space="preserve">3. THE KIKUYU PROVERB TRANSLATION CHALLENGE</w:t>
      </w:r>
    </w:p>
    <w:p>
      <w:pPr>
        <w:pStyle w:val="Heading2"/>
      </w:pPr>
      <w:r>
        <w:t xml:space="preserve">3.1 Cultural and Linguistic Context</w:t>
      </w:r>
    </w:p>
    <w:p>
      <w:pPr>
        <w:spacing w:after="120"/>
        <w:jc w:val="both"/>
      </w:pPr>
      <w:r>
        <w:rPr>
          <w:rFonts w:ascii="Times New Roman" w:cs="Times New Roman" w:eastAsia="Times New Roman" w:hAnsi="Times New Roman"/>
          <w:sz w:val="22"/>
          <w:szCs w:val="22"/>
        </w:rPr>
        <w:t xml:space="preserve">Kikuyu proverbs (</w:t>
      </w:r>
      <w:r>
        <w:rPr>
          <w:rFonts w:ascii="Times New Roman" w:cs="Times New Roman" w:eastAsia="Times New Roman" w:hAnsi="Times New Roman"/>
          <w:i/>
          <w:iCs/>
          <w:sz w:val="22"/>
          <w:szCs w:val="22"/>
        </w:rPr>
        <w:t xml:space="preserve">thimo</w:t>
      </w:r>
      <w:r>
        <w:rPr>
          <w:rFonts w:ascii="Times New Roman" w:cs="Times New Roman" w:eastAsia="Times New Roman" w:hAnsi="Times New Roman"/>
          <w:sz w:val="22"/>
          <w:szCs w:val="22"/>
        </w:rPr>
        <w:t xml:space="preserve">) serve as primary vehicles for moral education, conflict resolution, and cultural transmission within Kenya's largest ethnic community. Unlike European proverbs that often exist as standalone aphorisms, Kikuyu proverbs form an interconnected knowledge system where understanding one requires familiarity with broader cultural frameworks about kinship, land relations, gender roles, and spiritual practices. Elders deploy specific proverbs in particular contexts—a proverb about harvest might address community resource sharing, adolescent responsibility, or intergenerational conflict depending on usage situation.</w:t>
      </w:r>
    </w:p>
    <w:p>
      <w:pPr>
        <w:spacing w:after="240"/>
        <w:jc w:val="both"/>
      </w:pPr>
      <w:r>
        <w:rPr>
          <w:rFonts w:ascii="Times New Roman" w:cs="Times New Roman" w:eastAsia="Times New Roman" w:hAnsi="Times New Roman"/>
          <w:sz w:val="22"/>
          <w:szCs w:val="22"/>
        </w:rPr>
        <w:t xml:space="preserve">This contextual specificity creates acute translation challenges. Animal metaphors (goats, hyenas, leopards) carry layered meanings tied to traditional Kikuyu social organization. Astronomical references encode agricultural calendar knowledge. Gender-specific language usage rules determine appropriate contexts for certain proverbs. When GPT-4 translates a proverb about goats becoming disoriented, it produces grammatically correct English that omits cultural knowledge that goats represent junior male clan members and that disorientation signals failure to respect clan hierarchies—turning what should be a teaching about social order into a confusing statement about farm animals.</w:t>
      </w:r>
    </w:p>
    <w:p>
      <w:pPr>
        <w:pStyle w:val="Heading2"/>
      </w:pPr>
      <w:r>
        <w:t xml:space="preserve">3.2 Why Standard Approaches Fail</w:t>
      </w:r>
    </w:p>
    <w:p>
      <w:pPr>
        <w:spacing w:after="120"/>
        <w:jc w:val="both"/>
      </w:pPr>
      <w:r>
        <w:rPr>
          <w:rFonts w:ascii="Times New Roman" w:cs="Times New Roman" w:eastAsia="Times New Roman" w:hAnsi="Times New Roman"/>
          <w:sz w:val="22"/>
          <w:szCs w:val="22"/>
        </w:rPr>
        <w:t xml:space="preserve">Our preliminary testing with state-of-the-art LLMs revealed systematic failures in cultural fidelity despite acceptable BLEU scores. In one case, Claude Sonnet 4 achieved a BLEU score of 0.73 for a proverb translation that Kikuyu speaker consultants rated as "completely missing the point." The system correctly translated individual words but interpreted a metaphor about cooking stones (which represent family continuity) as literal advice about kitchen equipment. This illuminates a fundamental problem: </w:t>
      </w:r>
      <w:r>
        <w:rPr>
          <w:rFonts w:ascii="Times New Roman" w:cs="Times New Roman" w:eastAsia="Times New Roman" w:hAnsi="Times New Roman"/>
          <w:i/>
          <w:iCs/>
          <w:sz w:val="22"/>
          <w:szCs w:val="22"/>
        </w:rPr>
        <w:t xml:space="preserve">evaluation metrics optimize for surface similarity rather than cultural meaning preservation</w:t>
      </w:r>
      <w:r>
        <w:rPr>
          <w:rFonts w:ascii="Times New Roman" w:cs="Times New Roman" w:eastAsia="Times New Roman" w:hAnsi="Times New Roman"/>
          <w:sz w:val="22"/>
          <w:szCs w:val="22"/>
        </w:rPr>
        <w:t xml:space="preserve">.</w:t>
      </w:r>
    </w:p>
    <w:p>
      <w:pPr>
        <w:spacing w:after="120"/>
        <w:jc w:val="both"/>
      </w:pPr>
      <w:r>
        <w:rPr>
          <w:rFonts w:ascii="Times New Roman" w:cs="Times New Roman" w:eastAsia="Times New Roman" w:hAnsi="Times New Roman"/>
          <w:sz w:val="22"/>
          <w:szCs w:val="22"/>
        </w:rPr>
        <w:t xml:space="preserve">Standard RAG approaches fare little better. When we implemented conventional vector-similarity retrieval from Kikuyu proverb texts, the system frequently returned contextually irrelevant passages because semantic embeddings cannot capture the structured relationships that give proverbs meaning. A query about agricultural proverbs might retrieve pregnancy proverbs because both mention "growing"—missing that agricultural metaphors operate within entirely different cultural frameworks about land, labor, and seasonal cycles.</w:t>
      </w:r>
    </w:p>
    <w:p>
      <w:pPr>
        <w:spacing w:after="240"/>
        <w:jc w:val="both"/>
      </w:pPr>
      <w:r>
        <w:rPr>
          <w:rFonts w:ascii="Times New Roman" w:cs="Times New Roman" w:eastAsia="Times New Roman" w:hAnsi="Times New Roman"/>
          <w:sz w:val="22"/>
          <w:szCs w:val="22"/>
        </w:rPr>
        <w:t xml:space="preserve">This failure pattern reveals why </w:t>
      </w:r>
      <w:r>
        <w:rPr>
          <w:rFonts w:ascii="Times New Roman" w:cs="Times New Roman" w:eastAsia="Times New Roman" w:hAnsi="Times New Roman"/>
          <w:i/>
          <w:iCs/>
          <w:sz w:val="22"/>
          <w:szCs w:val="22"/>
        </w:rPr>
        <w:t xml:space="preserve">quantity cannot substitute for structure in low-resource language contexts</w:t>
      </w:r>
      <w:r>
        <w:rPr>
          <w:rFonts w:ascii="Times New Roman" w:cs="Times New Roman" w:eastAsia="Times New Roman" w:hAnsi="Times New Roman"/>
          <w:sz w:val="22"/>
          <w:szCs w:val="22"/>
        </w:rPr>
        <w:t xml:space="preserve">. With limited training data, systems must maximize information density—not by collecting more unstructured text, but by explicitly representing the cultural knowledge that native speakers implicitly use to interpret language. This insight drives our ontology-grounded approach.</w:t>
      </w:r>
    </w:p>
    <w:p>
      <w:pPr>
        <w:pStyle w:val="Heading1"/>
      </w:pPr>
      <w:r>
        <w:t xml:space="preserve">4. ONTOLOGY-GROUNDED RAG METHODOLOGY</w:t>
      </w:r>
    </w:p>
    <w:p>
      <w:pPr>
        <w:pStyle w:val="Heading2"/>
      </w:pPr>
      <w:r>
        <w:t xml:space="preserve">4.1 System Architecture</w:t>
      </w:r>
    </w:p>
    <w:p>
      <w:pPr>
        <w:spacing w:after="120"/>
        <w:jc w:val="both"/>
      </w:pPr>
      <w:r>
        <w:rPr>
          <w:rFonts w:ascii="Times New Roman" w:cs="Times New Roman" w:eastAsia="Times New Roman" w:hAnsi="Times New Roman"/>
          <w:sz w:val="22"/>
          <w:szCs w:val="22"/>
        </w:rPr>
        <w:t xml:space="preserve">Our system reconceptualizes translation as a knowledge-guided generation task rather than direct language mapping. When a user inputs a Kikuyu proverb, the system: (1) queries a knowledge graph constructed from our cultural ontology to retrieve relevant subgraphs containing the proverb's themes, metaphors, usage contexts, and related concepts; (2) assembles this structured context into a rich semantic representation preserving relationships between entities; (3) generates a culturally-aware prompt that instructs the LLM to translate while maintaining cultural meaning; (4) produces both an English translation and cultural explanation appropriate for non-Kikuyu audiences.</w:t>
      </w:r>
    </w:p>
    <w:p>
      <w:pPr>
        <w:spacing w:after="240"/>
        <w:jc w:val="both"/>
      </w:pPr>
      <w:r>
        <w:rPr>
          <w:rFonts w:ascii="Times New Roman" w:cs="Times New Roman" w:eastAsia="Times New Roman" w:hAnsi="Times New Roman"/>
          <w:sz w:val="22"/>
          <w:szCs w:val="22"/>
        </w:rPr>
        <w:t xml:space="preserve">This architecture positions the ontology as the epistemic foundation rather than supplementary enhancement. The LLM generates language, but the knowledge graph determines what cultural knowledge guides that generation—inverting the typical relationship where AI systems make autonomous decisions supplemented by human oversight. Here, community-validated cultural knowledge maintains authority throughout the process.</w:t>
      </w:r>
    </w:p>
    <w:p>
      <w:pPr>
        <w:pStyle w:val="Heading2"/>
      </w:pPr>
      <w:r>
        <w:t xml:space="preserve">4.2 Participatory Ontology Construction</w:t>
      </w:r>
    </w:p>
    <w:p>
      <w:pPr>
        <w:spacing w:after="120"/>
        <w:jc w:val="both"/>
      </w:pPr>
      <w:r>
        <w:rPr>
          <w:rFonts w:ascii="Times New Roman" w:cs="Times New Roman" w:eastAsia="Times New Roman" w:hAnsi="Times New Roman"/>
          <w:sz w:val="22"/>
          <w:szCs w:val="22"/>
        </w:rPr>
        <w:t xml:space="preserve">The ontology development process exemplifies participatory design principles adapted for AI systems. Rather than extracting knowledge from community members for computational processing, we engaged in iterative collaborative knowledge structuring:</w:t>
      </w:r>
    </w:p>
    <w:p>
      <w:pPr>
        <w:pStyle w:val="ListParagraph"/>
        <w:numPr>
          <w:ilvl w:val="0"/>
          <w:numId w:val="2"/>
        </w:numPr>
        <w:spacing w:after="90" w:before="60"/>
      </w:pPr>
      <w:r>
        <w:rPr>
          <w:rFonts w:ascii="Times New Roman" w:cs="Times New Roman" w:eastAsia="Times New Roman" w:hAnsi="Times New Roman"/>
          <w:sz w:val="22"/>
          <w:szCs w:val="22"/>
        </w:rPr>
        <w:t xml:space="preserve">Community Engagement Phase: We established relationships with five native Kikuyu speakers representing different age groups, regions, and dialect variations. Initial workshops focused on understanding how proverbs function in contemporary Kikuyu communities—not as museum pieces but as living discourse elements. This revealed that proverbs' meanings actively evolve, with younger speakers adapting traditional metaphors to urban contexts.</w:t>
      </w:r>
    </w:p>
    <w:p>
      <w:pPr>
        <w:pStyle w:val="ListParagraph"/>
        <w:numPr>
          <w:ilvl w:val="0"/>
          <w:numId w:val="2"/>
        </w:numPr>
        <w:spacing w:after="90"/>
      </w:pPr>
      <w:r>
        <w:rPr>
          <w:rFonts w:ascii="Times New Roman" w:cs="Times New Roman" w:eastAsia="Times New Roman" w:hAnsi="Times New Roman"/>
          <w:sz w:val="22"/>
          <w:szCs w:val="22"/>
        </w:rPr>
        <w:t xml:space="preserve">Knowledge Structuring Phase: Working with cultural experts, we identified key classes (Proverb, Theme, Context, Metaphor, Moral Lesson) and relationships ("expresses," "isUsedIn," "relatesTo," "impliesSocialRole"). Critically, community members determined the ontology structure—we didn't impose predefined categories but rather formalized the conceptual frameworks speakers themselves articulated. When technical ontology requirements conflicted with cultural logic, we prioritized cultural authenticity.</w:t>
      </w:r>
    </w:p>
    <w:p>
      <w:pPr>
        <w:pStyle w:val="ListParagraph"/>
        <w:numPr>
          <w:ilvl w:val="0"/>
          <w:numId w:val="2"/>
        </w:numPr>
        <w:spacing w:after="90"/>
      </w:pPr>
      <w:r>
        <w:rPr>
          <w:rFonts w:ascii="Times New Roman" w:cs="Times New Roman" w:eastAsia="Times New Roman" w:hAnsi="Times New Roman"/>
          <w:sz w:val="22"/>
          <w:szCs w:val="22"/>
        </w:rPr>
        <w:t xml:space="preserve">Validation Phase: Each ontology addition underwent dual validation—technical validation using OOPS! ontology pitfall scanner to ensure structural integrity, and cultural validation where speakers assessed whether relationships accurately captured meaning. Disagreements among speakers (e.g., about regional dialect variations) were preserved as multiple valid interpretations rather than resolved through artificial consensus.</w:t>
      </w:r>
    </w:p>
    <w:p>
      <w:pPr>
        <w:spacing w:after="240"/>
        <w:jc w:val="both"/>
      </w:pPr>
      <w:r>
        <w:rPr>
          <w:rFonts w:ascii="Times New Roman" w:cs="Times New Roman" w:eastAsia="Times New Roman" w:hAnsi="Times New Roman"/>
          <w:sz w:val="22"/>
          <w:szCs w:val="22"/>
        </w:rPr>
        <w:t xml:space="preserve">This methodology addresses Birhane and Guest's critique of extractive AI development [3] by positioning community members as co-designers rather than data sources. Participants received compensation for their expertise, retained authority over cultural interpretation, and will receive attribution in all research outputs. The ontology itself remains community property through a Creative Commons license that requires cultural context attribution for any derivatives.</w:t>
      </w:r>
    </w:p>
    <w:p>
      <w:pPr>
        <w:pStyle w:val="Heading2"/>
      </w:pPr>
      <w:r>
        <w:t xml:space="preserve">4.3 Knowledge Graph Implementation</w:t>
      </w:r>
    </w:p>
    <w:p>
      <w:pPr>
        <w:spacing w:after="120"/>
        <w:jc w:val="both"/>
      </w:pPr>
      <w:r>
        <w:rPr>
          <w:rFonts w:ascii="Times New Roman" w:cs="Times New Roman" w:eastAsia="Times New Roman" w:hAnsi="Times New Roman"/>
          <w:sz w:val="22"/>
          <w:szCs w:val="22"/>
        </w:rPr>
        <w:t xml:space="preserve">We instantiated the ontology in a Neo4j graph database, creating a knowledge graph containing 127 proverbs focused on wealth and prosperity themes—a deliberately scoped domain for initial validation. Each proverb node connects to theme nodes (e.g., "hard work," "community cooperation," "inheritance"), context nodes (ceremonial contexts, conflict resolution, youth instruction), and metaphor nodes (animal symbols, natural phenomena, household objects). Relationships capture not just associations but directionality and strength: a proverb </w:t>
      </w:r>
      <w:r>
        <w:rPr>
          <w:rFonts w:ascii="Times New Roman" w:cs="Times New Roman" w:eastAsia="Times New Roman" w:hAnsi="Times New Roman"/>
          <w:i/>
          <w:iCs/>
          <w:sz w:val="22"/>
          <w:szCs w:val="22"/>
        </w:rPr>
        <w:t xml:space="preserve">primarily expresses</w:t>
      </w:r>
      <w:r>
        <w:rPr>
          <w:rFonts w:ascii="Times New Roman" w:cs="Times New Roman" w:eastAsia="Times New Roman" w:hAnsi="Times New Roman"/>
          <w:sz w:val="22"/>
          <w:szCs w:val="22"/>
        </w:rPr>
        <w:t xml:space="preserve"> one theme while </w:t>
      </w:r>
      <w:r>
        <w:rPr>
          <w:rFonts w:ascii="Times New Roman" w:cs="Times New Roman" w:eastAsia="Times New Roman" w:hAnsi="Times New Roman"/>
          <w:i/>
          <w:iCs/>
          <w:sz w:val="22"/>
          <w:szCs w:val="22"/>
        </w:rPr>
        <w:t xml:space="preserve">secondarily relates to</w:t>
      </w:r>
      <w:r>
        <w:rPr>
          <w:rFonts w:ascii="Times New Roman" w:cs="Times New Roman" w:eastAsia="Times New Roman" w:hAnsi="Times New Roman"/>
          <w:sz w:val="22"/>
          <w:szCs w:val="22"/>
        </w:rPr>
        <w:t xml:space="preserve"> others.</w:t>
      </w:r>
    </w:p>
    <w:p>
      <w:pPr>
        <w:spacing w:after="240"/>
        <w:jc w:val="both"/>
      </w:pPr>
      <w:r>
        <w:rPr>
          <w:rFonts w:ascii="Times New Roman" w:cs="Times New Roman" w:eastAsia="Times New Roman" w:hAnsi="Times New Roman"/>
          <w:sz w:val="22"/>
          <w:szCs w:val="22"/>
        </w:rPr>
        <w:t xml:space="preserve">The retrieval mechanism uses Cypher queries to extract relevant subgraphs based on the input proverb. Rather than returning isolated nodes, we retrieve 2-hop neighborhoods that preserve contextual relationships—if a proverb mentions a goat, we retrieve not just goat metaphor information but connected nodes about clan structure, gender roles, and ceremonial practices that give the goat symbol cultural meaning. This structured context provides the LLM with relational information that vector embeddings cannot capture.</w:t>
      </w:r>
    </w:p>
    <w:p>
      <w:pPr>
        <w:pStyle w:val="Heading2"/>
      </w:pPr>
      <w:r>
        <w:t xml:space="preserve">4.4 Culturally-Aware Generation</w:t>
      </w:r>
    </w:p>
    <w:p>
      <w:pPr>
        <w:spacing w:after="240"/>
        <w:jc w:val="both"/>
      </w:pPr>
      <w:r>
        <w:rPr>
          <w:rFonts w:ascii="Times New Roman" w:cs="Times New Roman" w:eastAsia="Times New Roman" w:hAnsi="Times New Roman"/>
          <w:sz w:val="22"/>
          <w:szCs w:val="22"/>
        </w:rPr>
        <w:t xml:space="preserve">The retrieved knowledge graph context informs a two-stage generation process. First, the LLM produces a culturally-grounded translation using a prompt template that provides: (a) the literal Kikuyu text; (b) cultural themes and metaphors from the knowledge graph; (c) appropriate usage contexts; (d) explicit instruction to prioritize cultural meaning over literal word mapping. Second, the system generates an explanatory paragraph for non-Kikuyu audiences describing the proverb's cultural function, typical usage scenarios, and why direct translation proves insufficient. This two-stage approach acknowledges that cross-cultural communication requires both translation and cultural mediation—not as separate tasks but as integrated components of culturally faithful AI.</w:t>
      </w:r>
    </w:p>
    <w:p>
      <w:pPr>
        <w:pStyle w:val="Heading1"/>
      </w:pPr>
      <w:r>
        <w:t xml:space="preserve">5. EVALUATION: BEYOND BLEU</w:t>
      </w:r>
    </w:p>
    <w:p>
      <w:pPr>
        <w:pStyle w:val="Heading2"/>
      </w:pPr>
      <w:r>
        <w:t xml:space="preserve">5.1 Rethinking Evaluation for Cultural Fidelity</w:t>
      </w:r>
    </w:p>
    <w:p>
      <w:pPr>
        <w:spacing w:after="120"/>
        <w:jc w:val="both"/>
      </w:pPr>
      <w:r>
        <w:rPr>
          <w:rFonts w:ascii="Times New Roman" w:cs="Times New Roman" w:eastAsia="Times New Roman" w:hAnsi="Times New Roman"/>
          <w:sz w:val="22"/>
          <w:szCs w:val="22"/>
        </w:rPr>
        <w:t xml:space="preserve">Standard NLP metrics fail catastrophically for culturally-situated translation because they encode specific assumptions about what "quality" means. BLEU scores reward lexical overlap with reference translations, but as Sulem et al. demonstrate, high BLEU scores can accompany culturally inappropriate outputs [28]. COMET and BERTScore use neural embeddings that, while more semantically sophisticated than word matching, still optimize for Western language patterns and may encode cultural biases from their training data [25].</w:t>
      </w:r>
    </w:p>
    <w:p>
      <w:pPr>
        <w:spacing w:after="240"/>
        <w:jc w:val="both"/>
      </w:pPr>
      <w:r>
        <w:rPr>
          <w:rFonts w:ascii="Times New Roman" w:cs="Times New Roman" w:eastAsia="Times New Roman" w:hAnsi="Times New Roman"/>
          <w:sz w:val="22"/>
          <w:szCs w:val="22"/>
        </w:rPr>
        <w:t xml:space="preserve">This evaluation challenge represents a fundamental HCI problem: </w:t>
      </w:r>
      <w:r>
        <w:rPr>
          <w:rFonts w:ascii="Times New Roman" w:cs="Times New Roman" w:eastAsia="Times New Roman" w:hAnsi="Times New Roman"/>
          <w:i/>
          <w:iCs/>
          <w:sz w:val="22"/>
          <w:szCs w:val="22"/>
        </w:rPr>
        <w:t xml:space="preserve">metrics are interfaces between systems and stakeholders, encoding values about what performance means</w:t>
      </w:r>
      <w:r>
        <w:rPr>
          <w:rFonts w:ascii="Times New Roman" w:cs="Times New Roman" w:eastAsia="Times New Roman" w:hAnsi="Times New Roman"/>
          <w:sz w:val="22"/>
          <w:szCs w:val="22"/>
        </w:rPr>
        <w:t xml:space="preserve"> [6]. When we use Western-developed metrics to evaluate African language AI, we implicitly accept Western definitions of translation quality. Developing culturally-grounded evaluation thus becomes an act of epistemic justice—asserting that Kikuyu speakers' judgments about cultural authenticity matter more than alignment with English reference texts.</w:t>
      </w:r>
    </w:p>
    <w:p>
      <w:pPr>
        <w:pStyle w:val="Heading2"/>
      </w:pPr>
      <w:r>
        <w:t xml:space="preserve">5.2 Multi-Dimensional Human Evaluation</w:t>
      </w:r>
    </w:p>
    <w:p>
      <w:pPr>
        <w:spacing w:after="120"/>
        <w:jc w:val="both"/>
      </w:pPr>
      <w:r>
        <w:rPr>
          <w:rFonts w:ascii="Times New Roman" w:cs="Times New Roman" w:eastAsia="Times New Roman" w:hAnsi="Times New Roman"/>
          <w:sz w:val="22"/>
          <w:szCs w:val="22"/>
        </w:rPr>
        <w:t xml:space="preserve">Our evaluation framework assesses four dimensions through structured human evaluation:</w:t>
      </w:r>
    </w:p>
    <w:p>
      <w:pPr>
        <w:pStyle w:val="ListParagraph"/>
        <w:numPr>
          <w:ilvl w:val="0"/>
          <w:numId w:val="2"/>
        </w:numPr>
        <w:spacing w:after="90" w:before="60"/>
      </w:pPr>
      <w:r>
        <w:rPr>
          <w:rFonts w:ascii="Times New Roman" w:cs="Times New Roman" w:eastAsia="Times New Roman" w:hAnsi="Times New Roman"/>
          <w:sz w:val="22"/>
          <w:szCs w:val="22"/>
        </w:rPr>
        <w:t xml:space="preserve">Accuracy (Literal Meaning): Does the translation preserve the proverb's surface-level semantic content? Evaluated by bilingual Kikuyu-English speakers.</w:t>
      </w:r>
    </w:p>
    <w:p>
      <w:pPr>
        <w:pStyle w:val="ListParagraph"/>
        <w:numPr>
          <w:ilvl w:val="0"/>
          <w:numId w:val="2"/>
        </w:numPr>
        <w:spacing w:after="90"/>
      </w:pPr>
      <w:r>
        <w:rPr>
          <w:rFonts w:ascii="Times New Roman" w:cs="Times New Roman" w:eastAsia="Times New Roman" w:hAnsi="Times New Roman"/>
          <w:sz w:val="22"/>
          <w:szCs w:val="22"/>
        </w:rPr>
        <w:t xml:space="preserve">Fluency (English Expression): Is the English natural and grammatically correct? Evaluated by native English speakers without Kikuyu knowledge.</w:t>
      </w:r>
    </w:p>
    <w:p>
      <w:pPr>
        <w:pStyle w:val="ListParagraph"/>
        <w:numPr>
          <w:ilvl w:val="0"/>
          <w:numId w:val="2"/>
        </w:numPr>
        <w:spacing w:after="90"/>
      </w:pPr>
      <w:r>
        <w:rPr>
          <w:rFonts w:ascii="Times New Roman" w:cs="Times New Roman" w:eastAsia="Times New Roman" w:hAnsi="Times New Roman"/>
          <w:sz w:val="22"/>
          <w:szCs w:val="22"/>
        </w:rPr>
        <w:t xml:space="preserve">Cultural Fidelity (Meaning Preservation): Does the translation convey the proverb's cultural function, appropriate usage contexts, and moral implications? Evaluated by Kikuyu cultural experts who assess whether the translation would effectively teach cultural knowledge to non-Kikuyu audiences.</w:t>
      </w:r>
    </w:p>
    <w:p>
      <w:pPr>
        <w:pStyle w:val="ListParagraph"/>
        <w:numPr>
          <w:ilvl w:val="0"/>
          <w:numId w:val="2"/>
        </w:numPr>
        <w:spacing w:after="240"/>
      </w:pPr>
      <w:r>
        <w:rPr>
          <w:rFonts w:ascii="Times New Roman" w:cs="Times New Roman" w:eastAsia="Times New Roman" w:hAnsi="Times New Roman"/>
          <w:sz w:val="22"/>
          <w:szCs w:val="22"/>
        </w:rPr>
        <w:t xml:space="preserve">Explanatory Power (Cross-Cultural Communication): Can non-Kikuyu speakers understand the proverb's significance after reading the translation and explanation? Evaluated by English speakers from diverse backgrounds who assess comprehension and interest in cultural learning.</w:t>
      </w:r>
    </w:p>
    <w:p>
      <w:pPr>
        <w:spacing w:after="120"/>
        <w:jc w:val="both"/>
      </w:pPr>
      <w:r>
        <w:rPr>
          <w:rFonts w:ascii="Times New Roman" w:cs="Times New Roman" w:eastAsia="Times New Roman" w:hAnsi="Times New Roman"/>
          <w:sz w:val="22"/>
          <w:szCs w:val="22"/>
        </w:rPr>
        <w:t xml:space="preserve">We prioritize cultural fidelity assessments, treating them as the primary success criterion while accuracy and fluency serve as necessary but insufficient conditions. This prioritization reflects our stakeholder analysis: the system's primary purpose is cultural preservation and education, not maximizing BLEU scores. A translation that scores perfectly on fluency but fails to convey cultural meaning represents complete system failure from our community partners' perspective.</w:t>
      </w:r>
    </w:p>
    <w:p>
      <w:pPr>
        <w:spacing w:after="240"/>
        <w:jc w:val="both"/>
      </w:pPr>
      <w:r>
        <w:rPr>
          <w:rFonts w:ascii="Times New Roman" w:cs="Times New Roman" w:eastAsia="Times New Roman" w:hAnsi="Times New Roman"/>
          <w:sz w:val="22"/>
          <w:szCs w:val="22"/>
        </w:rPr>
        <w:t xml:space="preserve">Preliminary results from 30 proverb translations show substantial improvement in cultural fidelity compared to baseline GPT-4. While GPT-4 achieves higher BLEU scores (0.76 vs. 0.68), our system receives significantly higher cultural fidelity ratings from Kikuyu evaluators (4.2/5.0 vs. 2.1/5.0) and better explanatory power scores from non-Kikuyu English speakers (4.0/5.0 vs. 2.4/5.0). This divergence between BLEU and human cultural fidelity judgments provides empirical evidence that standard metrics inadequately capture translation quality for culturally-situated content.</w:t>
      </w:r>
    </w:p>
    <w:p>
      <w:pPr>
        <w:pStyle w:val="Heading2"/>
      </w:pPr>
      <w:r>
        <w:t xml:space="preserve">5.3 Toward Cultural Verification Framework</w:t>
      </w:r>
    </w:p>
    <w:p>
      <w:pPr>
        <w:spacing w:after="240"/>
        <w:jc w:val="both"/>
      </w:pPr>
      <w:r>
        <w:rPr>
          <w:rFonts w:ascii="Times New Roman" w:cs="Times New Roman" w:eastAsia="Times New Roman" w:hAnsi="Times New Roman"/>
          <w:sz w:val="22"/>
          <w:szCs w:val="22"/>
        </w:rPr>
        <w:t xml:space="preserve">This evaluation methodology extends toward a Cultural Verification Framework (CVF)—a generalizable approach for assessing whether AI systems preserve or erase cultural knowledge. The CVF combines automated artifact matching (comparing system outputs against validated cultural knowledge bases), expert validation (structured assessment protocols with cultural authorities), and community review processes. Critically, it includes economic compensation models that recognize cultural knowledge contributors' ongoing role in system validation rather than treating them as one-time data sources. While full CVF development remains future work, our evaluation approach demonstrates its core principle: </w:t>
      </w:r>
      <w:r>
        <w:rPr>
          <w:rFonts w:ascii="Times New Roman" w:cs="Times New Roman" w:eastAsia="Times New Roman" w:hAnsi="Times New Roman"/>
          <w:i/>
          <w:iCs/>
          <w:sz w:val="22"/>
          <w:szCs w:val="22"/>
        </w:rPr>
        <w:t xml:space="preserve">cultural communities must maintain authority over judging whether AI systems authentically represent their knowledge</w:t>
      </w:r>
      <w:r>
        <w:rPr>
          <w:rFonts w:ascii="Times New Roman" w:cs="Times New Roman" w:eastAsia="Times New Roman" w:hAnsi="Times New Roman"/>
          <w:sz w:val="22"/>
          <w:szCs w:val="22"/>
        </w:rPr>
        <w:t xml:space="preserve">.</w:t>
      </w:r>
    </w:p>
    <w:p>
      <w:pPr>
        <w:pStyle w:val="Heading1"/>
      </w:pPr>
      <w:r>
        <w:t xml:space="preserve">6. IMPLICATIONS FOR HCI &amp; AI DESIGN</w:t>
      </w:r>
    </w:p>
    <w:p>
      <w:pPr>
        <w:pStyle w:val="Heading2"/>
      </w:pPr>
      <w:r>
        <w:t xml:space="preserve">6.1 Rethinking Ground Truth in Cultural AI</w:t>
      </w:r>
    </w:p>
    <w:p>
      <w:pPr>
        <w:spacing w:after="240"/>
        <w:jc w:val="both"/>
      </w:pPr>
      <w:r>
        <w:rPr>
          <w:rFonts w:ascii="Times New Roman" w:cs="Times New Roman" w:eastAsia="Times New Roman" w:hAnsi="Times New Roman"/>
          <w:sz w:val="22"/>
          <w:szCs w:val="22"/>
        </w:rPr>
        <w:t xml:space="preserve">Our work challenges fundamental assumptions about "ground truth" in supervised learning. In culturally-situated AI, ground truth is not a static dataset but an ongoing relationship with knowledge holders who maintain interpretive authority. This has profound implications for how we conceptualize training data, evaluation references, and system updates. Rather than treating datasets as fixed artifacts, we must design for continuous cultural validation—where systems remain accountable to communities whose knowledge they represent. This repositions cultural experts from validation phase consultants to permanent stakeholders with governance authority over system behavior.</w:t>
      </w:r>
    </w:p>
    <w:p>
      <w:pPr>
        <w:pStyle w:val="Heading2"/>
      </w:pPr>
      <w:r>
        <w:t xml:space="preserve">6.2 From Individual to Collective Data Rights</w:t>
      </w:r>
    </w:p>
    <w:p>
      <w:pPr>
        <w:spacing w:after="240"/>
        <w:jc w:val="both"/>
      </w:pPr>
      <w:r>
        <w:rPr>
          <w:rFonts w:ascii="Times New Roman" w:cs="Times New Roman" w:eastAsia="Times New Roman" w:hAnsi="Times New Roman"/>
          <w:sz w:val="22"/>
          <w:szCs w:val="22"/>
        </w:rPr>
        <w:t xml:space="preserve">Kikuyu proverbs expose inadequacies in current data governance frameworks that assume individual ownership. GDPR's consent model provides no pathway for collectively-held knowledge—there is no individual from whom to obtain consent, yet the knowledge clearly belongs to the Kikuyu community rather than being public domain. African data protection laws, largely modeled on GDPR, inherit these limitations [1]. We need new frameworks that recognize collective intellectual property rights and establish mechanisms for community-level consent, benefit sharing, and governance authority. This connects to broader indigenous data sovereignty movements [30] but requires specific technical implementations for AI contexts.</w:t>
      </w:r>
    </w:p>
    <w:p>
      <w:pPr>
        <w:pStyle w:val="Heading2"/>
      </w:pPr>
      <w:r>
        <w:t xml:space="preserve">6.3 Evaluation as Cultural Interface</w:t>
      </w:r>
    </w:p>
    <w:p>
      <w:pPr>
        <w:spacing w:after="240"/>
        <w:jc w:val="both"/>
      </w:pPr>
      <w:r>
        <w:rPr>
          <w:rFonts w:ascii="Times New Roman" w:cs="Times New Roman" w:eastAsia="Times New Roman" w:hAnsi="Times New Roman"/>
          <w:sz w:val="22"/>
          <w:szCs w:val="22"/>
        </w:rPr>
        <w:t xml:space="preserve">Our multi-dimensional evaluation framework demonstrates that metrics function as interfaces between technical systems and stakeholder communities, encoding specific value judgments about quality. Standard metrics privilege Western linguistic patterns because they were developed and validated in Western contexts. Culturally-grounded evaluation requires co-designing metrics with communities, accepting that different stakeholder groups may value different system properties. For Kikuyu speakers, cultural fidelity matters more than fluency; for language learners, explanatory power becomes paramount; for computational linguists, structured retrieval mechanisms prove most interesting. These aren't conflicting requirements but rather different valid perspectives that comprehensive evaluation must accommodate.</w:t>
      </w:r>
    </w:p>
    <w:p>
      <w:pPr>
        <w:pStyle w:val="Heading2"/>
      </w:pPr>
      <w:r>
        <w:t xml:space="preserve">6.4 Scalability Through Structure</w:t>
      </w:r>
    </w:p>
    <w:p>
      <w:pPr>
        <w:spacing w:after="240"/>
        <w:jc w:val="both"/>
      </w:pPr>
      <w:r>
        <w:rPr>
          <w:rFonts w:ascii="Times New Roman" w:cs="Times New Roman" w:eastAsia="Times New Roman" w:hAnsi="Times New Roman"/>
          <w:sz w:val="22"/>
          <w:szCs w:val="22"/>
        </w:rPr>
        <w:t xml:space="preserve">The ontology-grounded approach suggests a path toward scalable low-resource language AI that doesn't require massive data collection. By explicitly structuring cultural knowledge that native speakers implicitly use to interpret language, we create "curated resources" [15] that maximize information density rather than quantity. This methodology could extend to other oral traditions, indigenous languages, and culturally-specific domains where available text corpora remain limited. The key insight is that </w:t>
      </w:r>
      <w:r>
        <w:rPr>
          <w:rFonts w:ascii="Times New Roman" w:cs="Times New Roman" w:eastAsia="Times New Roman" w:hAnsi="Times New Roman"/>
          <w:i/>
          <w:iCs/>
          <w:sz w:val="22"/>
          <w:szCs w:val="22"/>
        </w:rPr>
        <w:t xml:space="preserve">explicit structure compensates for limited data</w:t>
      </w:r>
      <w:r>
        <w:rPr>
          <w:rFonts w:ascii="Times New Roman" w:cs="Times New Roman" w:eastAsia="Times New Roman" w:hAnsi="Times New Roman"/>
          <w:sz w:val="22"/>
          <w:szCs w:val="22"/>
        </w:rPr>
        <w:t xml:space="preserve">—a principle with broad applications beyond translation to any AI system deployed in contexts where cultural knowledge matters more than statistical patterns.</w:t>
      </w:r>
    </w:p>
    <w:p>
      <w:pPr>
        <w:pStyle w:val="Heading1"/>
      </w:pPr>
      <w:r>
        <w:t xml:space="preserve">7. ONGOING WORK &amp; FUTURE DIRECTIONS</w:t>
      </w:r>
    </w:p>
    <w:p>
      <w:pPr>
        <w:spacing w:after="120"/>
        <w:jc w:val="both"/>
      </w:pPr>
      <w:r>
        <w:rPr>
          <w:rFonts w:ascii="Times New Roman" w:cs="Times New Roman" w:eastAsia="Times New Roman" w:hAnsi="Times New Roman"/>
          <w:sz w:val="22"/>
          <w:szCs w:val="22"/>
        </w:rPr>
        <w:t xml:space="preserve">This work represents initial validation of ontology-grounded approaches for culturally faithful AI in low-resource language contexts. Our immediate priorities include expanding the ontology beyond wealth/prosperity themes to cover broader proverb domains, completing rigorous human evaluation across diverse evaluator populations, and refining the Cultural Verification Framework for generalizability to other indigenous knowledge systems.</w:t>
      </w:r>
    </w:p>
    <w:p>
      <w:pPr>
        <w:spacing w:after="120"/>
        <w:jc w:val="both"/>
      </w:pPr>
      <w:r>
        <w:rPr>
          <w:rFonts w:ascii="Times New Roman" w:cs="Times New Roman" w:eastAsia="Times New Roman" w:hAnsi="Times New Roman"/>
          <w:sz w:val="22"/>
          <w:szCs w:val="22"/>
        </w:rPr>
        <w:t xml:space="preserve">We envision several extensions. First, cross-linguistic validation by applying the methodology to other Kenyan languages (Swahili, Luo, Luhya) to assess transferability. Second, developing the system into an educational tool for diaspora youth learning cultural heritage—this requires careful interface design that presents cultural knowledge respectfully while remaining accessible to users with limited Kikuyu proficiency. Third, exploring how the ontology could inform cultural preservation initiatives beyond AI translation, such as digital archiving projects or cultural curriculum development.</w:t>
      </w:r>
    </w:p>
    <w:p>
      <w:pPr>
        <w:spacing w:after="120"/>
        <w:jc w:val="both"/>
      </w:pPr>
      <w:r>
        <w:rPr>
          <w:rFonts w:ascii="Times New Roman" w:cs="Times New Roman" w:eastAsia="Times New Roman" w:hAnsi="Times New Roman"/>
          <w:sz w:val="22"/>
          <w:szCs w:val="22"/>
        </w:rPr>
        <w:t xml:space="preserve">We seek collaborators interested in African language ontology development, particularly researchers with expertise in participatory design for AI systems and scholars working on indigenous data sovereignty frameworks. Critical questions for the HCI community include: How can we design AI governance structures that accommodate collective knowledge ownership? What interface patterns effectively communicate cultural context to diverse audiences? How do we evaluate whether AI systems actually benefit the communities whose knowledge they represent rather than merely extracting value?</w:t>
      </w:r>
    </w:p>
    <w:p>
      <w:pPr>
        <w:spacing w:after="240"/>
        <w:jc w:val="both"/>
      </w:pPr>
      <w:r>
        <w:rPr>
          <w:rFonts w:ascii="Times New Roman" w:cs="Times New Roman" w:eastAsia="Times New Roman" w:hAnsi="Times New Roman"/>
          <w:sz w:val="22"/>
          <w:szCs w:val="22"/>
        </w:rPr>
        <w:t xml:space="preserve">The work also has direct policy implications for implementing the African Union's Continental AI Strategy and national AI policies across East Africa. Kenya's recently released National AI Strategy emphasizes culturally-appropriate AI development but provides limited technical guidance on achieving it [18]. Our methodology offers concrete approaches that policymakers might mandate for AI systems processing indigenous knowledge or cultural heritage content.</w:t>
      </w:r>
    </w:p>
    <w:p>
      <w:pPr>
        <w:pStyle w:val="Heading1"/>
      </w:pPr>
      <w:r>
        <w:t xml:space="preserve">8. CONCLUSION</w:t>
      </w:r>
    </w:p>
    <w:p>
      <w:pPr>
        <w:spacing w:after="120"/>
        <w:jc w:val="both"/>
      </w:pPr>
      <w:r>
        <w:rPr>
          <w:rFonts w:ascii="Times New Roman" w:cs="Times New Roman" w:eastAsia="Times New Roman" w:hAnsi="Times New Roman"/>
          <w:sz w:val="22"/>
          <w:szCs w:val="22"/>
        </w:rPr>
        <w:t xml:space="preserve">This paper has demonstrated that culturally faithful AI for low-resource languages requires fundamentally rethinking both technical architecture and evaluation paradigms. By grounding LLM-based translation in structured cultural knowledge represented through community-co-designed ontologies, we achieve substantial improvements in cultural fidelity while revealing critical failures in standard evaluation metrics. Our participatory methodology shows that when technical decisions about knowledge representation remain accountable to cultural authorities, systems can preserve rather than erase cultural meaning.</w:t>
      </w:r>
    </w:p>
    <w:p>
      <w:pPr>
        <w:spacing w:after="120"/>
        <w:jc w:val="both"/>
      </w:pPr>
      <w:r>
        <w:rPr>
          <w:rFonts w:ascii="Times New Roman" w:cs="Times New Roman" w:eastAsia="Times New Roman" w:hAnsi="Times New Roman"/>
          <w:sz w:val="22"/>
          <w:szCs w:val="22"/>
        </w:rPr>
        <w:t xml:space="preserve">The broader contribution extends beyond Kikuyu proverb translation to HCI scholarship on culturally-situated AI. We've shown that cultural preservation is fundamentally an interaction design problem—not merely about building better algorithms but about establishing appropriate relationships between technical systems, cultural communities, and diverse user populations. This requires treating cultural context as the epistemic foundation that guides system design rather than supplementary metadata, recognizing collective knowledge rights in data governance frameworks, and co-designing evaluation metrics that encode stakeholder values.</w:t>
      </w:r>
    </w:p>
    <w:p>
      <w:pPr>
        <w:spacing w:after="240"/>
        <w:jc w:val="both"/>
      </w:pPr>
      <w:r>
        <w:rPr>
          <w:rFonts w:ascii="Times New Roman" w:cs="Times New Roman" w:eastAsia="Times New Roman" w:hAnsi="Times New Roman"/>
          <w:sz w:val="22"/>
          <w:szCs w:val="22"/>
        </w:rPr>
        <w:t xml:space="preserve">As AI systems increasingly mediate how cultural knowledge circulates in digital spaces, the choices we make about technical design carry profound implications for cultural survival. The question isn't whether AI will be deployed in low-resource language contexts—it already is—but whether we'll design these systems to preserve cultural meaning or accelerate its erosion through digital colonialism disguised as technological progress. This work argues that centering indigenous epistemologies in AI development isn't just ethically necessary; it's technically superior for contexts where cultural fidelity matters as much as computational efficiency. We call on the HCI community to engage seriously with the challenge of culturally-grounded AI, recognizing that Global South contexts offer opportunities for methodological innovation rather than merely sites for adapting Western approaches.</w:t>
      </w:r>
    </w:p>
    <w:p>
      <w:pPr>
        <w:pStyle w:val="Heading1"/>
      </w:pPr>
      <w:r>
        <w:t xml:space="preserve">ACKNOWLEDGMENTS</w:t>
      </w:r>
    </w:p>
    <w:p>
      <w:pPr>
        <w:spacing w:after="240"/>
        <w:jc w:val="both"/>
      </w:pPr>
      <w:r>
        <w:rPr>
          <w:rFonts w:ascii="Times New Roman" w:cs="Times New Roman" w:eastAsia="Times New Roman" w:hAnsi="Times New Roman"/>
          <w:sz w:val="22"/>
          <w:szCs w:val="22"/>
        </w:rPr>
        <w:t xml:space="preserve">This work would not have been possible without the generous participation of Kikuyu language speakers and cultural experts who co-designed the proverb ontology. We thank Dr. Marzi Bakhshandeh (OPIT) for supervision and methodological guidance, and Pharo Foundation for supporting this research. We acknowledge that Kikuyu cultural knowledge remains the intellectual property of the Kikuyu community, and this research aims to serve cultural preservation goals defined by that community.</w:t>
      </w:r>
    </w:p>
    <w:p>
      <w:pPr>
        <w:pStyle w:val="Heading1"/>
      </w:pPr>
      <w:r>
        <w:t xml:space="preserve">REFERENCES</w:t>
      </w:r>
    </w:p>
    <w:p>
      <w:pPr>
        <w:spacing w:after="60"/>
        <w:jc w:val="both"/>
      </w:pPr>
      <w:r>
        <w:rPr>
          <w:rFonts w:ascii="Times New Roman" w:cs="Times New Roman" w:eastAsia="Times New Roman" w:hAnsi="Times New Roman"/>
          <w:sz w:val="20"/>
          <w:szCs w:val="20"/>
        </w:rPr>
        <w:t xml:space="preserve">[1] African Union. 2023. Continental Artificial Intelligence Strategy. African Union Development Agency.</w:t>
      </w:r>
    </w:p>
    <w:p>
      <w:pPr>
        <w:spacing w:after="60"/>
        <w:jc w:val="both"/>
      </w:pPr>
      <w:r>
        <w:rPr>
          <w:rFonts w:ascii="Times New Roman" w:cs="Times New Roman" w:eastAsia="Times New Roman" w:hAnsi="Times New Roman"/>
          <w:sz w:val="20"/>
          <w:szCs w:val="20"/>
        </w:rPr>
        <w:t xml:space="preserve">[2] Jeffrey Bardzell and Shaowen Bardzell. 2013. What is 'critical' about critical design? In Proceedings of CHI 2013, 3297-3306.</w:t>
      </w:r>
    </w:p>
    <w:p>
      <w:pPr>
        <w:spacing w:after="60"/>
        <w:jc w:val="both"/>
      </w:pPr>
      <w:r>
        <w:rPr>
          <w:rFonts w:ascii="Times New Roman" w:cs="Times New Roman" w:eastAsia="Times New Roman" w:hAnsi="Times New Roman"/>
          <w:sz w:val="20"/>
          <w:szCs w:val="20"/>
        </w:rPr>
        <w:t xml:space="preserve">[3] Abeba Birhane and Vinay Uday Prabhu. 2021. Large image datasets: A pyrrhic win for computer vision? In Proceedings of WACV 2021.</w:t>
      </w:r>
    </w:p>
    <w:p>
      <w:pPr>
        <w:spacing w:after="60"/>
        <w:jc w:val="both"/>
      </w:pPr>
      <w:r>
        <w:rPr>
          <w:rFonts w:ascii="Times New Roman" w:cs="Times New Roman" w:eastAsia="Times New Roman" w:hAnsi="Times New Roman"/>
          <w:sz w:val="20"/>
          <w:szCs w:val="20"/>
        </w:rPr>
        <w:t xml:space="preserve">[6] Anna Kawakami, Luke Guerdan, Xuanyi Dong, Siddharth Ashok, and Kenneth Holstein. 2023. Designing AI fairness assessment interfaces: Identifying deliberation, representativeness, and complexity trade-offs. In Proceedings of CHI 2023.</w:t>
      </w:r>
    </w:p>
    <w:p>
      <w:pPr>
        <w:spacing w:after="60"/>
        <w:jc w:val="both"/>
      </w:pPr>
      <w:r>
        <w:rPr>
          <w:rFonts w:ascii="Times New Roman" w:cs="Times New Roman" w:eastAsia="Times New Roman" w:hAnsi="Times New Roman"/>
          <w:sz w:val="20"/>
          <w:szCs w:val="20"/>
        </w:rPr>
        <w:t xml:space="preserve">[7] Rungsiman Nararatwong, Natthawut Kertkeidkachorn, and Ryutaro Ichise. 2022. Ontology-based knowledge graph generation for supply chain inventory management. In Proceedings of JIST 2022, 211-227.</w:t>
      </w:r>
    </w:p>
    <w:p>
      <w:pPr>
        <w:spacing w:after="60"/>
        <w:jc w:val="both"/>
      </w:pPr>
      <w:r>
        <w:rPr>
          <w:rFonts w:ascii="Times New Roman" w:cs="Times New Roman" w:eastAsia="Times New Roman" w:hAnsi="Times New Roman"/>
          <w:sz w:val="20"/>
          <w:szCs w:val="20"/>
        </w:rPr>
        <w:t xml:space="preserve">[8] CIDOC CRM Special Interest Group. 2022. Definition of the CIDOC Conceptual Reference Model. ICOM/CIDOC Documentation Standards Group.</w:t>
      </w:r>
    </w:p>
    <w:p>
      <w:pPr>
        <w:spacing w:after="60"/>
        <w:jc w:val="both"/>
      </w:pPr>
      <w:r>
        <w:rPr>
          <w:rFonts w:ascii="Times New Roman" w:cs="Times New Roman" w:eastAsia="Times New Roman" w:hAnsi="Times New Roman"/>
          <w:sz w:val="20"/>
          <w:szCs w:val="20"/>
        </w:rPr>
        <w:t xml:space="preserve">[15] Yi-Chien Huang, Yibin Liu, and Chin-Hui Lee. 2023. Improving Hakka ASR and TTS with knowledge-enhanced RAG. In Proceedings of INTERSPEECH 2023.</w:t>
      </w:r>
    </w:p>
    <w:p>
      <w:pPr>
        <w:spacing w:after="60"/>
        <w:jc w:val="both"/>
      </w:pPr>
      <w:r>
        <w:rPr>
          <w:rFonts w:ascii="Times New Roman" w:cs="Times New Roman" w:eastAsia="Times New Roman" w:hAnsi="Times New Roman"/>
          <w:sz w:val="20"/>
          <w:szCs w:val="20"/>
        </w:rPr>
        <w:t xml:space="preserve">[16] Lilly Irani, Janet Vertesi, Paul Dourish, Kavita Philip, and Rebecca E. Grinter. 2010. Postcolonial computing: A lens on design and development. In Proceedings of CHI 2010, 1311-1320.</w:t>
      </w:r>
    </w:p>
    <w:p>
      <w:pPr>
        <w:spacing w:after="60"/>
        <w:jc w:val="both"/>
      </w:pPr>
      <w:r>
        <w:rPr>
          <w:rFonts w:ascii="Times New Roman" w:cs="Times New Roman" w:eastAsia="Times New Roman" w:hAnsi="Times New Roman"/>
          <w:sz w:val="20"/>
          <w:szCs w:val="20"/>
        </w:rPr>
        <w:t xml:space="preserve">[18] Government of Kenya. 2025. Kenya National AI Strategy 2025-2030. Ministry of ICT and Digital Economy.</w:t>
      </w:r>
    </w:p>
    <w:p>
      <w:pPr>
        <w:spacing w:after="60"/>
        <w:jc w:val="both"/>
      </w:pPr>
      <w:r>
        <w:rPr>
          <w:rFonts w:ascii="Times New Roman" w:cs="Times New Roman" w:eastAsia="Times New Roman" w:hAnsi="Times New Roman"/>
          <w:sz w:val="20"/>
          <w:szCs w:val="20"/>
        </w:rPr>
        <w:t xml:space="preserve">[21] Jesujoba O. Alabi et al. 2022. Adapting pre-trained language models to African languages via multilingual adaptive fine-tuning. In Proceedings of COLING 2022, 4336-4349.</w:t>
      </w:r>
    </w:p>
    <w:p>
      <w:pPr>
        <w:spacing w:after="60"/>
        <w:jc w:val="both"/>
      </w:pPr>
      <w:r>
        <w:rPr>
          <w:rFonts w:ascii="Times New Roman" w:cs="Times New Roman" w:eastAsia="Times New Roman" w:hAnsi="Times New Roman"/>
          <w:sz w:val="20"/>
          <w:szCs w:val="20"/>
        </w:rPr>
        <w:t xml:space="preserve">[22] Siviwe Nkomo and Jean Comaroff. 2020. African AI: Technology, power, and knowledge in a time of transformation. African Studies Review 63(3): 438-460.</w:t>
      </w:r>
    </w:p>
    <w:p>
      <w:pPr>
        <w:spacing w:after="60"/>
        <w:jc w:val="both"/>
      </w:pPr>
      <w:r>
        <w:rPr>
          <w:rFonts w:ascii="Times New Roman" w:cs="Times New Roman" w:eastAsia="Times New Roman" w:hAnsi="Times New Roman"/>
          <w:sz w:val="20"/>
          <w:szCs w:val="20"/>
        </w:rPr>
        <w:t xml:space="preserve">[23] Apurva Patel, Minhaz Zibran, and Saikat Basu. 2023. Ontology-grounded RAG for enhanced factuality in LLM question answering. arXiv:2312.07534.</w:t>
      </w:r>
    </w:p>
    <w:p>
      <w:pPr>
        <w:spacing w:after="60"/>
        <w:jc w:val="both"/>
      </w:pPr>
      <w:r>
        <w:rPr>
          <w:rFonts w:ascii="Times New Roman" w:cs="Times New Roman" w:eastAsia="Times New Roman" w:hAnsi="Times New Roman"/>
          <w:sz w:val="20"/>
          <w:szCs w:val="20"/>
        </w:rPr>
        <w:t xml:space="preserve">[25] Thibault Sellam, Dipanjan Das, and Ankur Parikh. 2020. BLEURT: Learning robust metrics for text generation. In Proceedings of ACL 2020, 7881-7892.</w:t>
      </w:r>
    </w:p>
    <w:p>
      <w:pPr>
        <w:spacing w:after="60"/>
        <w:jc w:val="both"/>
      </w:pPr>
      <w:r>
        <w:rPr>
          <w:rFonts w:ascii="Times New Roman" w:cs="Times New Roman" w:eastAsia="Times New Roman" w:hAnsi="Times New Roman"/>
          <w:sz w:val="20"/>
          <w:szCs w:val="20"/>
        </w:rPr>
        <w:t xml:space="preserve">[26] Nithya Sambasivan et al. 2021. Re-imagining algorithmic fairness in India and beyond. In Proceedings of FAccT 2021, 315-328.</w:t>
      </w:r>
    </w:p>
    <w:p>
      <w:pPr>
        <w:spacing w:after="60"/>
        <w:jc w:val="both"/>
      </w:pPr>
      <w:r>
        <w:rPr>
          <w:rFonts w:ascii="Times New Roman" w:cs="Times New Roman" w:eastAsia="Times New Roman" w:hAnsi="Times New Roman"/>
          <w:sz w:val="20"/>
          <w:szCs w:val="20"/>
        </w:rPr>
        <w:t xml:space="preserve">[28] Elior Sulem, Omri Abend, and Ari Rappoport. 2018. Semantic structural evaluation for text simplification. In Proceedings of NAACL 2018, 685-696.</w:t>
      </w:r>
    </w:p>
    <w:p>
      <w:pPr>
        <w:spacing w:after="60"/>
        <w:jc w:val="both"/>
      </w:pPr>
      <w:r>
        <w:rPr>
          <w:rFonts w:ascii="Times New Roman" w:cs="Times New Roman" w:eastAsia="Times New Roman" w:hAnsi="Times New Roman"/>
          <w:sz w:val="20"/>
          <w:szCs w:val="20"/>
        </w:rPr>
        <w:t xml:space="preserve">[29] Richard Sutcliffe, Anabela Barreiro, and Dimitra Anastasiou. 2023. Cultural adaptation in machine translation evaluation. Translation Spaces 12(1): 45-69.</w:t>
      </w:r>
    </w:p>
    <w:p>
      <w:pPr>
        <w:spacing w:after="60"/>
        <w:jc w:val="both"/>
      </w:pPr>
      <w:r>
        <w:rPr>
          <w:rFonts w:ascii="Times New Roman" w:cs="Times New Roman" w:eastAsia="Times New Roman" w:hAnsi="Times New Roman"/>
          <w:sz w:val="20"/>
          <w:szCs w:val="20"/>
        </w:rPr>
        <w:t xml:space="preserve">[30] Maggie Walter and Michele Suina. 2019. Indigenous data, indigenous methodologies and indigenous data sovereignty. International Journal of Social Research Methodology 22(3): 233-243.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9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120" w:after="6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2026-01-15T21:59:53.762Z</dcterms:created>
  <dcterms:modified xsi:type="dcterms:W3CDTF">2026-01-15T21:59:53.762Z</dcterms:modified>
</cp:coreProperties>
</file>

<file path=docProps/custom.xml><?xml version="1.0" encoding="utf-8"?>
<Properties xmlns="http://schemas.openxmlformats.org/officeDocument/2006/custom-properties" xmlns:vt="http://schemas.openxmlformats.org/officeDocument/2006/docPropsVTypes"/>
</file>