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1F6F5C"/>
          <w:sz w:val="56"/>
          <w:szCs w:val="56"/>
        </w:rPr>
        <w:t xml:space="preserve">PsyConnect</w:t>
      </w:r>
    </w:p>
    <w:p>
      <w:pPr>
        <w:spacing w:after="100" w:before="200"/>
        <w:jc w:val="center"/>
      </w:pPr>
      <w:r>
        <w:rPr>
          <w:b/>
          <w:bCs/>
          <w:sz w:val="32"/>
          <w:szCs w:val="32"/>
        </w:rPr>
        <w:t xml:space="preserve">Communication asynchrone entre microservices</w:t>
      </w:r>
    </w:p>
    <w:p>
      <w:pPr>
        <w:jc w:val="center"/>
      </w:pPr>
      <w:r>
        <w:rPr>
          <w:color w:val="595959"/>
          <w:sz w:val="24"/>
          <w:szCs w:val="24"/>
        </w:rPr>
        <w:t xml:space="preserve">Pourquoi REST + Resilience4j et du polling, plutôt que Kafka, RabbitMQ ou WebSocket</w:t>
      </w:r>
    </w:p>
    <w:p>
      <w:pPr>
        <w:spacing w:before="400"/>
        <w:jc w:val="center"/>
      </w:pPr>
      <w:r>
        <w:rPr>
          <w:i/>
          <w:iCs/>
          <w:sz w:val="22"/>
          <w:szCs w:val="22"/>
        </w:rPr>
        <w:t xml:space="preserve">Mémoire de Master 2 — Systèmes d'Information Répartis (SIR)</w:t>
      </w:r>
    </w:p>
    <w:p>
      <w:pPr>
        <w:jc w:val="center"/>
      </w:pPr>
      <w:r>
        <w:rPr>
          <w:i/>
          <w:iCs/>
          <w:color w:val="595959"/>
          <w:sz w:val="22"/>
          <w:szCs w:val="22"/>
        </w:rPr>
        <w:t xml:space="preserve">Juin 2026</w:t>
      </w:r>
    </w:p>
    <w:p>
      <w:r>
        <w:br w:type="page"/>
      </w:r>
    </w:p>
    <w:p>
      <w:pPr>
        <w:pStyle w:val="Heading1"/>
      </w:pPr>
      <w:r>
        <w:t xml:space="preserve">1. Cadrage : deux besoins distincts</w:t>
      </w:r>
    </w:p>
    <w:p>
      <w:pPr>
        <w:spacing w:after="160"/>
      </w:pPr>
      <w:r>
        <w:t xml:space="preserve">PsyConnect a deux flux qui pourraient sembler relever de la même problématique de « communication asynchrone », mais qui répondent en réalité à des contraintes différentes et appellent donc des réponses différentes :</w:t>
      </w:r>
    </w:p>
    <w:p>
      <w:pPr>
        <w:pStyle w:val="ListParagraph"/>
        <w:numPr>
          <w:ilvl w:val="0"/>
          <w:numId w:val="2"/>
        </w:numPr>
        <w:spacing w:after="80"/>
      </w:pPr>
      <w:r>
        <w:rPr>
          <w:b/>
          <w:bCs/>
        </w:rPr>
        <w:t xml:space="preserve">les notifications </w:t>
      </w:r>
      <w:r>
        <w:t xml:space="preserve">(confirmation de paiement, rendez-vous créé ou changé de statut, fin de session) : un événement métier déclenche l'envoi d'un message à un utilisateur, sans attente de retour ;</w:t>
      </w:r>
    </w:p>
    <w:p>
      <w:pPr>
        <w:pStyle w:val="ListParagraph"/>
        <w:numPr>
          <w:ilvl w:val="0"/>
          <w:numId w:val="2"/>
        </w:numPr>
        <w:spacing w:after="80"/>
      </w:pPr>
      <w:r>
        <w:rPr>
          <w:b/>
          <w:bCs/>
        </w:rPr>
        <w:t xml:space="preserve">la messagerie patient ↔ psychologue </w:t>
      </w:r>
      <w:r>
        <w:t xml:space="preserve">(chat) : deux utilisateurs échangent des messages et veulent voir arriver les nouveaux messages sans recharger manuellement l'écran.</w:t>
      </w:r>
    </w:p>
    <w:p>
      <w:pPr>
        <w:spacing w:after="160"/>
      </w:pPr>
      <w:r>
        <w:t xml:space="preserve">Ce document explique, pour chacun de ces deux flux, ce qui a été retenu dans le code, ce qu'apporteraient les alternatives (Kafka, RabbitMQ, WebSocket/STOMP), et pourquoi le compromis actuel a été jugé préférable au regard du périmètre du projet.</w:t>
      </w:r>
    </w:p>
    <w:p>
      <w:pPr>
        <w:pStyle w:val="Heading1"/>
      </w:pPr>
      <w:r>
        <w:t xml:space="preserve">2. Notifications : REST synchrone + Resilience4j, plutôt qu'un broker</w:t>
      </w:r>
    </w:p>
    <w:p>
      <w:pPr>
        <w:pStyle w:val="Heading2"/>
      </w:pPr>
      <w:r>
        <w:t xml:space="preserve">2.1. Implémentation actuelle</w:t>
      </w:r>
    </w:p>
    <w:p>
      <w:pPr>
        <w:spacing w:after="160"/>
      </w:pPr>
      <w:r>
        <w:t xml:space="preserve">L'envoi de notifications est centralisé dans un unique composant, NotificationClient (appointment-service), appelé depuis PaymentServiceImpl, AppointmentServiceImpl et SessionServiceImpl. C'est un appel REST synchrone classique vers notification-service, protégé par deux annotations Resilience4j :</w:t>
      </w:r>
    </w:p>
    <w:p>
      <w:pPr>
        <w:shd w:fill="F4F4F4" w:val="clear"/>
        <w:spacing w:after="160" w:before="80"/>
      </w:pPr>
      <w:r>
        <w:rPr>
          <w:rFonts w:ascii="Courier New" w:cs="Courier New" w:eastAsia="Courier New" w:hAnsi="Courier New"/>
          <w:color w:val="333333"/>
          <w:sz w:val="18"/>
          <w:szCs w:val="18"/>
        </w:rPr>
        <w:t xml:space="preserve">@CircuitBreaker(name = "notificationService")</w:t>
      </w:r>
      <w:r>
        <w:rPr>
          <w:rFonts w:ascii="Courier New" w:cs="Courier New" w:eastAsia="Courier New" w:hAnsi="Courier New"/>
          <w:color w:val="333333"/>
          <w:sz w:val="18"/>
          <w:szCs w:val="18"/>
        </w:rPr>
        <w:br/>
        <w:t xml:space="preserve">@Retry(name = "notificationService", fallbackMethod = "fallbackSend")</w:t>
      </w:r>
      <w:r>
        <w:rPr>
          <w:rFonts w:ascii="Courier New" w:cs="Courier New" w:eastAsia="Courier New" w:hAnsi="Courier New"/>
          <w:color w:val="333333"/>
          <w:sz w:val="18"/>
          <w:szCs w:val="18"/>
        </w:rPr>
        <w:br/>
        <w:t xml:space="preserve">public void send(Long userId, String title, String message, String type) {</w:t>
      </w:r>
      <w:r>
        <w:rPr>
          <w:rFonts w:ascii="Courier New" w:cs="Courier New" w:eastAsia="Courier New" w:hAnsi="Courier New"/>
          <w:color w:val="333333"/>
          <w:sz w:val="18"/>
          <w:szCs w:val="18"/>
        </w:rPr>
        <w:br/>
        <w:t xml:space="preserve">    restTemplate.exchange(notificationServiceUrl + "/notifications", ...);</w:t>
      </w:r>
      <w:r>
        <w:rPr>
          <w:rFonts w:ascii="Courier New" w:cs="Courier New" w:eastAsia="Courier New" w:hAnsi="Courier New"/>
          <w:color w:val="333333"/>
          <w:sz w:val="18"/>
          <w:szCs w:val="18"/>
        </w:rPr>
        <w:br/>
        <w:t xml:space="preserve">}</w:t>
      </w:r>
      <w:r>
        <w:rPr>
          <w:rFonts w:ascii="Courier New" w:cs="Courier New" w:eastAsia="Courier New" w:hAnsi="Courier New"/>
          <w:color w:val="333333"/>
          <w:sz w:val="18"/>
          <w:szCs w:val="18"/>
        </w:rPr>
        <w:br/>
        <w:t xml:space="preserve"/>
      </w:r>
      <w:r>
        <w:rPr>
          <w:rFonts w:ascii="Courier New" w:cs="Courier New" w:eastAsia="Courier New" w:hAnsi="Courier New"/>
          <w:color w:val="333333"/>
          <w:sz w:val="18"/>
          <w:szCs w:val="18"/>
        </w:rPr>
        <w:br/>
        <w:t xml:space="preserve">private void fallbackSend(Long userId, String title, String message,</w:t>
      </w:r>
      <w:r>
        <w:rPr>
          <w:rFonts w:ascii="Courier New" w:cs="Courier New" w:eastAsia="Courier New" w:hAnsi="Courier New"/>
          <w:color w:val="333333"/>
          <w:sz w:val="18"/>
          <w:szCs w:val="18"/>
        </w:rPr>
        <w:br/>
        <w:t xml:space="preserve">        String type, Throwable t) {</w:t>
      </w:r>
      <w:r>
        <w:rPr>
          <w:rFonts w:ascii="Courier New" w:cs="Courier New" w:eastAsia="Courier New" w:hAnsi="Courier New"/>
          <w:color w:val="333333"/>
          <w:sz w:val="18"/>
          <w:szCs w:val="18"/>
        </w:rPr>
        <w:br/>
        <w:t xml:space="preserve">    LOGGER.warn("Notification non envoyée à l'utilisateur {} (\"{}\") : " +</w:t>
      </w:r>
      <w:r>
        <w:rPr>
          <w:rFonts w:ascii="Courier New" w:cs="Courier New" w:eastAsia="Courier New" w:hAnsi="Courier New"/>
          <w:color w:val="333333"/>
          <w:sz w:val="18"/>
          <w:szCs w:val="18"/>
        </w:rPr>
        <w:br/>
        <w:t xml:space="preserve">        "notification-service indisponible (retry épuisé ou circuit ouvert)",</w:t>
      </w:r>
      <w:r>
        <w:rPr>
          <w:rFonts w:ascii="Courier New" w:cs="Courier New" w:eastAsia="Courier New" w:hAnsi="Courier New"/>
          <w:color w:val="333333"/>
          <w:sz w:val="18"/>
          <w:szCs w:val="18"/>
        </w:rPr>
        <w:br/>
        <w:t xml:space="preserve">        userId, title, t);</w:t>
      </w:r>
      <w:r>
        <w:rPr>
          <w:rFonts w:ascii="Courier New" w:cs="Courier New" w:eastAsia="Courier New" w:hAnsi="Courier New"/>
          <w:color w:val="333333"/>
          <w:sz w:val="18"/>
          <w:szCs w:val="18"/>
        </w:rPr>
        <w:br/>
        <w:t xml:space="preserve">}</w:t>
      </w:r>
    </w:p>
    <w:p>
      <w:pPr>
        <w:spacing w:after="200" w:before="60"/>
      </w:pPr>
      <w:r>
        <w:rPr>
          <w:i/>
          <w:iCs/>
          <w:color w:val="595959"/>
          <w:sz w:val="20"/>
          <w:szCs w:val="20"/>
        </w:rPr>
        <w:t xml:space="preserve">Extrait réel de backend/appointment-service/.../client/NotificationClient.java. Cf. aussi la section 6.4 du document « PsyConnect_Justification_Systeme_Reparti.docx », qui couvre la même implémentation sous l'angle de la tolérance aux pannes.</w:t>
      </w:r>
    </w:p>
    <w:p>
      <w:pPr>
        <w:spacing w:after="160"/>
      </w:pPr>
      <w:r>
        <w:t xml:space="preserve">Le point essentiel est dans fallbackSend : après épuisement des tentatives de réessai ou ouverture du circuit, on se contente de journaliser un avertissement, sans jamais relancer d'exception. Une notification non envoyée ne fait donc jamais échouer le paiement, le rendez-vous ou la session qui l'a déclenchée.</w:t>
      </w:r>
    </w:p>
    <w:p>
      <w:pPr>
        <w:pStyle w:val="Heading2"/>
      </w:pPr>
      <w:r>
        <w:t xml:space="preserve">2.2. Ce qu'apporterait réellement un broker (Kafka / RabbitMQ)</w:t>
      </w:r>
    </w:p>
    <w:p>
      <w:pPr>
        <w:spacing w:after="160"/>
      </w:pPr>
      <w:r>
        <w:t xml:space="preserve">La différence qualitative entre un appel REST et un broker n'est pas la vitesse, mais le découplage temporel et la durabilité du message. Avec Kafka ou RabbitMQ, le service appelant publie un message et reprend immédiatement son traitement ; le broker conserve le message jusqu'à ce que notification-service soit en mesure de le traiter — même après une panne de plusieurs heures, rien n'est perdu, le message reste en attente. Avec l'appel REST actuel, c'est l'inverse : Resilience4j masque les pannes courtes (quelques secondes, un redémarrage), mais si notification-service reste indisponible plus longtemps que la fenêtre de réessai, la notification est définitivement perdue.</w:t>
      </w:r>
    </w:p>
    <w:p>
      <w:pPr>
        <w:spacing w:after="160"/>
      </w:pPr>
      <w:r>
        <w:t xml:space="preserve">Entre Kafka et RabbitMQ eux-mêmes, RabbitMQ aurait été le plus pertinent ici si un broker avait été retenu : le besoin est celui d'une file de tâches simples (« envoyer cette notification »), pas d'un flux d'événements à conserver et à rejouer dans le temps pour plusieurs consommateurs indépendants, ce pour quoi Kafka est conçu.</w:t>
      </w:r>
    </w:p>
    <w:p>
      <w:pPr>
        <w:pStyle w:val="Heading2"/>
      </w:pPr>
      <w:r>
        <w:t xml:space="preserve">2.3. Pourquoi ce n'est pas retenu ici</w:t>
      </w:r>
    </w:p>
    <w:p>
      <w:pPr>
        <w:pStyle w:val="ListParagraph"/>
        <w:numPr>
          <w:ilvl w:val="0"/>
          <w:numId w:val="2"/>
        </w:numPr>
        <w:spacing w:after="80"/>
      </w:pPr>
      <w:r>
        <w:rPr>
          <w:b/>
          <w:bCs/>
        </w:rPr>
        <w:t xml:space="preserve">Volume et topologie du flux : </w:t>
      </w:r>
      <w:r>
        <w:t xml:space="preserve">c'est un échange 1-vers-1 (appointment-service → notification-service), à faible volume — pas un cas de diffusion à plusieurs abonnés indépendants, où un broker apporte une vraie valeur ajoutée (pub/sub).</w:t>
      </w:r>
    </w:p>
    <w:p>
      <w:pPr>
        <w:pStyle w:val="ListParagraph"/>
        <w:numPr>
          <w:ilvl w:val="0"/>
          <w:numId w:val="2"/>
        </w:numPr>
        <w:spacing w:after="80"/>
      </w:pPr>
      <w:r>
        <w:rPr>
          <w:b/>
          <w:bCs/>
        </w:rPr>
        <w:t xml:space="preserve">Criticité de la donnée : </w:t>
      </w:r>
      <w:r>
        <w:t xml:space="preserve">perdre une notification « rendez-vous confirmé » dégrade l'expérience mais ne compromet aucune donnée métier — contrairement à un paiement ou une réservation, qui restent eux gérés de façon synchrone et cohérente.</w:t>
      </w:r>
    </w:p>
    <w:p>
      <w:pPr>
        <w:pStyle w:val="ListParagraph"/>
        <w:numPr>
          <w:ilvl w:val="0"/>
          <w:numId w:val="2"/>
        </w:numPr>
        <w:spacing w:after="80"/>
      </w:pPr>
      <w:r>
        <w:rPr>
          <w:b/>
          <w:bCs/>
        </w:rPr>
        <w:t xml:space="preserve">Coût d'infrastructure disproportionné : </w:t>
      </w:r>
      <w:r>
        <w:t xml:space="preserve">déployer, sécuriser et superviser un broker (Kafka ou RabbitMQ) pour ce seul flux ajouterait une charge d'infrastructure et d'apprentissage hors de proportion avec le problème réel à résoudre, dans le cadre temporel d'un mémoire de M2.</w:t>
      </w:r>
    </w:p>
    <w:p>
      <w:pPr>
        <w:pStyle w:val="ListParagraph"/>
        <w:numPr>
          <w:ilvl w:val="0"/>
          <w:numId w:val="2"/>
        </w:numPr>
        <w:spacing w:after="80"/>
      </w:pPr>
      <w:r>
        <w:rPr>
          <w:b/>
          <w:bCs/>
        </w:rPr>
        <w:t xml:space="preserve">Resilience4j suffit au besoin réel : </w:t>
      </w:r>
      <w:r>
        <w:t xml:space="preserve">le couple retry + circuit breaker donne déjà une dégradation gracieuse acceptable pour un flux non critique, sans dépendance technique supplémentaire.</w:t>
      </w:r>
    </w:p>
    <w:p>
      <w:pPr>
        <w:pStyle w:val="Heading2"/>
      </w:pPr>
      <w:r>
        <w:t xml:space="preserve">2.4. Limite assumée</w:t>
      </w:r>
    </w:p>
    <w:p>
      <w:pPr>
        <w:spacing w:after="160"/>
      </w:pPr>
      <w:r>
        <w:t xml:space="preserve">Cette absence de durabilité est une limite reconnue, pas un oubli : en cas de panne prolongée de notification-service, les notifications émises pendant cette fenêtre sont perdues sans possibilité de rattrapage. C'est précisément le type de limite qu'un broker (RabbitMQ plutôt que Kafka, pour les raisons exposées en 2.2) corrigerait si le volume ou les exigences de fiabilité venaient à augmenter — un axe d'évolution cohérent avec la section « Limites assumées et perspectives d'évolution » du document de justification de l'architecture répartie.</w:t>
      </w:r>
    </w:p>
    <w:p>
      <w:pPr>
        <w:pStyle w:val="Heading1"/>
      </w:pPr>
      <w:r>
        <w:t xml:space="preserve">3. Messagerie : polling côté client, plutôt qu'un WebSocket ou un broker</w:t>
      </w:r>
    </w:p>
    <w:p>
      <w:pPr>
        <w:pStyle w:val="Heading2"/>
      </w:pPr>
      <w:r>
        <w:t xml:space="preserve">3.1. Implémentation actuelle</w:t>
      </w:r>
    </w:p>
    <w:p>
      <w:pPr>
        <w:spacing w:after="160"/>
      </w:pPr>
      <w:r>
        <w:t xml:space="preserve">Côté Flutter, l'écran de discussion ne maintient aucune connexion persistante : un minuteur déclenche un rafraîchissement REST toutes les 6 secondes.</w:t>
      </w:r>
    </w:p>
    <w:p>
      <w:pPr>
        <w:shd w:fill="F4F4F4" w:val="clear"/>
        <w:spacing w:after="160" w:before="80"/>
      </w:pPr>
      <w:r>
        <w:rPr>
          <w:rFonts w:ascii="Courier New" w:cs="Courier New" w:eastAsia="Courier New" w:hAnsi="Courier New"/>
          <w:color w:val="333333"/>
          <w:sz w:val="18"/>
          <w:szCs w:val="18"/>
        </w:rPr>
        <w:t xml:space="preserve">/// Pas de WebSocket côté backend : le "temps réel" est simulé par un</w:t>
      </w:r>
      <w:r>
        <w:rPr>
          <w:rFonts w:ascii="Courier New" w:cs="Courier New" w:eastAsia="Courier New" w:hAnsi="Courier New"/>
          <w:color w:val="333333"/>
          <w:sz w:val="18"/>
          <w:szCs w:val="18"/>
        </w:rPr>
        <w:br/>
        <w:t xml:space="preserve">/// rafraîchissement périodique (polling) toutes les 6 secondes, suffisant</w:t>
      </w:r>
      <w:r>
        <w:rPr>
          <w:rFonts w:ascii="Courier New" w:cs="Courier New" w:eastAsia="Courier New" w:hAnsi="Courier New"/>
          <w:color w:val="333333"/>
          <w:sz w:val="18"/>
          <w:szCs w:val="18"/>
        </w:rPr>
        <w:br/>
        <w:t xml:space="preserve">/// pour une messagerie de cabinet (pas un chat instantané grand public).</w:t>
      </w:r>
      <w:r>
        <w:rPr>
          <w:rFonts w:ascii="Courier New" w:cs="Courier New" w:eastAsia="Courier New" w:hAnsi="Courier New"/>
          <w:color w:val="333333"/>
          <w:sz w:val="18"/>
          <w:szCs w:val="18"/>
        </w:rPr>
        <w:br/>
        <w:t xml:space="preserve"/>
      </w:r>
      <w:r>
        <w:rPr>
          <w:rFonts w:ascii="Courier New" w:cs="Courier New" w:eastAsia="Courier New" w:hAnsi="Courier New"/>
          <w:color w:val="333333"/>
          <w:sz w:val="18"/>
          <w:szCs w:val="18"/>
        </w:rPr>
        <w:br/>
        <w:t xml:space="preserve">_pollTimer = Timer.periodic(</w:t>
      </w:r>
      <w:r>
        <w:rPr>
          <w:rFonts w:ascii="Courier New" w:cs="Courier New" w:eastAsia="Courier New" w:hAnsi="Courier New"/>
          <w:color w:val="333333"/>
          <w:sz w:val="18"/>
          <w:szCs w:val="18"/>
        </w:rPr>
        <w:br/>
        <w:t xml:space="preserve">  const Duration(seconds: 6),</w:t>
      </w:r>
      <w:r>
        <w:rPr>
          <w:rFonts w:ascii="Courier New" w:cs="Courier New" w:eastAsia="Courier New" w:hAnsi="Courier New"/>
          <w:color w:val="333333"/>
          <w:sz w:val="18"/>
          <w:szCs w:val="18"/>
        </w:rPr>
        <w:br/>
        <w:t xml:space="preserve">  (_) =&gt; _loadMessages(initial: false),</w:t>
      </w:r>
      <w:r>
        <w:rPr>
          <w:rFonts w:ascii="Courier New" w:cs="Courier New" w:eastAsia="Courier New" w:hAnsi="Courier New"/>
          <w:color w:val="333333"/>
          <w:sz w:val="18"/>
          <w:szCs w:val="18"/>
        </w:rPr>
        <w:br/>
        <w:t xml:space="preserve">);</w:t>
      </w:r>
    </w:p>
    <w:p>
      <w:pPr>
        <w:spacing w:after="200" w:before="60"/>
      </w:pPr>
      <w:r>
        <w:rPr>
          <w:i/>
          <w:iCs/>
          <w:color w:val="595959"/>
          <w:sz w:val="20"/>
          <w:szCs w:val="20"/>
        </w:rPr>
        <w:t xml:space="preserve">Extrait réel de frontend/psyconnect/lib/features/messaging/screens/chat_screen.dart. Le même principe est repris pour le badge de messages non lus dans patient_shell.dart, avec un intervalle plus long (20 s).</w:t>
      </w:r>
    </w:p>
    <w:p>
      <w:pPr>
        <w:spacing w:after="160"/>
      </w:pPr>
      <w:r>
        <w:t xml:space="preserve">Côté backend, il n'existe ni WebSocket, ni STOMP, ni aucun broker : la messagerie est implémentée dans appointment-service sous forme d'API REST classique (conversations, messages), exactement comme le reste du système.</w:t>
      </w:r>
    </w:p>
    <w:p>
      <w:pPr>
        <w:pStyle w:val="Heading2"/>
      </w:pPr>
      <w:r>
        <w:t xml:space="preserve">3.2. Ce qu'apporterait un WebSocket / STOMP</w:t>
      </w:r>
    </w:p>
    <w:p>
      <w:pPr>
        <w:spacing w:after="160"/>
      </w:pPr>
      <w:r>
        <w:t xml:space="preserve">Un WebSocket maintiendrait une connexion bidirectionnelle ouverte entre le client et le serveur, permettant un push immédiat des nouveaux messages sans attente — un vrai temps réel. Le coût est dans la gestion de cette connexion dans la durée : reconnexion après une coupure réseau mobile (changement de Wi-Fi à 4G, mise en arrière-plan de l'application), répartition de charge d'une connexion longue à travers Spring Cloud Gateway et plusieurs instances d'un même service (affinité de session à gérer, alors que le reste du système est volontairement stateless via JWT), et un protocole supplémentaire (STOMP) à intégrer et tester.</w:t>
      </w:r>
    </w:p>
    <w:p>
      <w:pPr>
        <w:pStyle w:val="Heading2"/>
      </w:pPr>
      <w:r>
        <w:t xml:space="preserve">3.3. Pourquoi un broker n'est pas non plus la bonne réponse ici</w:t>
      </w:r>
    </w:p>
    <w:p>
      <w:pPr>
        <w:spacing w:after="160"/>
      </w:pPr>
      <w:r>
        <w:t xml:space="preserve">Kafka ou RabbitMQ répondent à un problème différent de celui de la messagerie : distribuer ou conserver des messages entre services, pas pousser un événement en temps réel vers un client mobile/web connecté à un instant donné. Même avec un broker en place côté serveur, il faudrait quand même un canal de push vers le client (WebSocket, SSE, ou notifications push) pour obtenir le vrai temps réel recherché — un broker seul ne supprime donc pas le besoin évoqué en 3.2, il ne fait que déplacer le problème côté serveur.</w:t>
      </w:r>
    </w:p>
    <w:p>
      <w:pPr>
        <w:pStyle w:val="Heading2"/>
      </w:pPr>
      <w:r>
        <w:t xml:space="preserve">3.4. Pourquoi ce n'est pas retenu ici</w:t>
      </w:r>
    </w:p>
    <w:p>
      <w:pPr>
        <w:pStyle w:val="ListParagraph"/>
        <w:numPr>
          <w:ilvl w:val="0"/>
          <w:numId w:val="2"/>
        </w:numPr>
        <w:spacing w:after="80"/>
      </w:pPr>
      <w:r>
        <w:rPr>
          <w:b/>
          <w:bCs/>
        </w:rPr>
        <w:t xml:space="preserve">Nature de l'usage : </w:t>
      </w:r>
      <w:r>
        <w:t xml:space="preserve">une messagerie de cabinet patient↔psychologue tolère quelques secondes de délai ; ce n'est pas un chat instantané grand public où chaque seconde de latence est perçue.</w:t>
      </w:r>
    </w:p>
    <w:p>
      <w:pPr>
        <w:pStyle w:val="ListParagraph"/>
        <w:numPr>
          <w:ilvl w:val="0"/>
          <w:numId w:val="2"/>
        </w:numPr>
        <w:spacing w:after="80"/>
      </w:pPr>
      <w:r>
        <w:rPr>
          <w:b/>
          <w:bCs/>
        </w:rPr>
        <w:t xml:space="preserve">Simplicité d'intégration : </w:t>
      </w:r>
      <w:r>
        <w:t xml:space="preserve">le polling REST transite par l'infrastructure déjà en place (Gateway, Eureka, JWT stateless) sans rien ajouter ; un WebSocket aurait demandé de revoir cette infrastructure pour un seul flux.</w:t>
      </w:r>
    </w:p>
    <w:p>
      <w:pPr>
        <w:pStyle w:val="ListParagraph"/>
        <w:numPr>
          <w:ilvl w:val="0"/>
          <w:numId w:val="2"/>
        </w:numPr>
        <w:spacing w:after="80"/>
      </w:pPr>
      <w:r>
        <w:rPr>
          <w:b/>
          <w:bCs/>
        </w:rPr>
        <w:t xml:space="preserve">Effort proportionné au périmètre du mémoire : </w:t>
      </w:r>
      <w:r>
        <w:t xml:space="preserve">le polling a été implémenté et testé dans le temps disponible ; un WebSocket robuste (avec reconnexion, gestion d'état) représente un effort sensiblement plus important pour un gain perçu limité à ce volume d'utilisateurs.</w:t>
      </w:r>
    </w:p>
    <w:p>
      <w:pPr>
        <w:pStyle w:val="Heading2"/>
      </w:pPr>
      <w:r>
        <w:t xml:space="preserve">3.5. Limite assumée</w:t>
      </w:r>
    </w:p>
    <w:p>
      <w:pPr>
        <w:spacing w:after="160"/>
      </w:pPr>
      <w:r>
        <w:t xml:space="preserve">Le compromis inverse de celui des notifications : pas de perte de données (les messages sont bien persistés côté serveur dès l'envoi), mais une latence d'affichage pouvant aller jusqu'à 6 secondes côté destinataire, et une charge réseau qui croît linéairement avec le nombre d'utilisateurs ayant un écran de discussion ouvert simultanément — un point qui deviendrait sensible à une échelle que ce projet académique n'a pas vocation à atteindre.</w:t>
      </w:r>
    </w:p>
    <w:p>
      <w:pPr>
        <w:pStyle w:val="Heading1"/>
      </w:pPr>
      <w:r>
        <w:t xml:space="preserve">4. Synthèse comparative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2300"/>
        <w:gridCol w:w="2160"/>
      </w:tblGrid>
      <w:tr>
        <w:tc>
          <w:tcPr>
            <w:tcW w:type="dxa" w:w="2200"/>
            <w:tcBorders>
              <w:top w:val="single" w:color="CCCCCC" w:sz="1"/>
              <w:left w:val="single" w:color="CCCCCC" w:sz="1"/>
              <w:bottom w:val="single" w:color="CCCCCC" w:sz="1"/>
              <w:right w:val="single" w:color="CCCCCC" w:sz="1"/>
            </w:tcBorders>
            <w:shd w:fill="1F6F5C" w:val="clear"/>
            <w:tcMar>
              <w:top w:type="dxa" w:w="100"/>
              <w:left w:type="dxa" w:w="120"/>
              <w:bottom w:type="dxa" w:w="100"/>
              <w:right w:type="dxa" w:w="120"/>
            </w:tcMar>
          </w:tcPr>
          <w:p>
            <w:pPr>
              <w:jc w:val="left"/>
            </w:pPr>
            <w:r>
              <w:rPr>
                <w:b/>
                <w:bCs/>
                <w:color w:val="FFFFFF"/>
                <w:sz w:val="20"/>
                <w:szCs w:val="20"/>
              </w:rPr>
              <w:t xml:space="preserve">Critère</w:t>
            </w:r>
          </w:p>
        </w:tc>
        <w:tc>
          <w:tcPr>
            <w:tcW w:type="dxa" w:w="2700"/>
            <w:tcBorders>
              <w:top w:val="single" w:color="CCCCCC" w:sz="1"/>
              <w:left w:val="single" w:color="CCCCCC" w:sz="1"/>
              <w:bottom w:val="single" w:color="CCCCCC" w:sz="1"/>
              <w:right w:val="single" w:color="CCCCCC" w:sz="1"/>
            </w:tcBorders>
            <w:shd w:fill="1F6F5C" w:val="clear"/>
            <w:tcMar>
              <w:top w:type="dxa" w:w="100"/>
              <w:left w:type="dxa" w:w="120"/>
              <w:bottom w:type="dxa" w:w="100"/>
              <w:right w:type="dxa" w:w="120"/>
            </w:tcMar>
          </w:tcPr>
          <w:p>
            <w:pPr>
              <w:jc w:val="left"/>
            </w:pPr>
            <w:r>
              <w:rPr>
                <w:b/>
                <w:bCs/>
                <w:color w:val="FFFFFF"/>
                <w:sz w:val="20"/>
                <w:szCs w:val="20"/>
              </w:rPr>
              <w:t xml:space="preserve">REST + Resilience4j / polling (choix actuel)</w:t>
            </w:r>
          </w:p>
        </w:tc>
        <w:tc>
          <w:tcPr>
            <w:tcW w:type="dxa" w:w="2300"/>
            <w:tcBorders>
              <w:top w:val="single" w:color="CCCCCC" w:sz="1"/>
              <w:left w:val="single" w:color="CCCCCC" w:sz="1"/>
              <w:bottom w:val="single" w:color="CCCCCC" w:sz="1"/>
              <w:right w:val="single" w:color="CCCCCC" w:sz="1"/>
            </w:tcBorders>
            <w:shd w:fill="1F6F5C" w:val="clear"/>
            <w:tcMar>
              <w:top w:type="dxa" w:w="100"/>
              <w:left w:type="dxa" w:w="120"/>
              <w:bottom w:type="dxa" w:w="100"/>
              <w:right w:type="dxa" w:w="120"/>
            </w:tcMar>
          </w:tcPr>
          <w:p>
            <w:pPr>
              <w:jc w:val="left"/>
            </w:pPr>
            <w:r>
              <w:rPr>
                <w:b/>
                <w:bCs/>
                <w:color w:val="FFFFFF"/>
                <w:sz w:val="20"/>
                <w:szCs w:val="20"/>
              </w:rPr>
              <w:t xml:space="preserve">Broker (Kafka / RabbitMQ)</w:t>
            </w:r>
          </w:p>
        </w:tc>
        <w:tc>
          <w:tcPr>
            <w:tcW w:type="dxa" w:w="2160"/>
            <w:tcBorders>
              <w:top w:val="single" w:color="CCCCCC" w:sz="1"/>
              <w:left w:val="single" w:color="CCCCCC" w:sz="1"/>
              <w:bottom w:val="single" w:color="CCCCCC" w:sz="1"/>
              <w:right w:val="single" w:color="CCCCCC" w:sz="1"/>
            </w:tcBorders>
            <w:shd w:fill="1F6F5C" w:val="clear"/>
            <w:tcMar>
              <w:top w:type="dxa" w:w="100"/>
              <w:left w:type="dxa" w:w="120"/>
              <w:bottom w:type="dxa" w:w="100"/>
              <w:right w:type="dxa" w:w="120"/>
            </w:tcMar>
          </w:tcPr>
          <w:p>
            <w:pPr>
              <w:jc w:val="left"/>
            </w:pPr>
            <w:r>
              <w:rPr>
                <w:b/>
                <w:bCs/>
                <w:color w:val="FFFFFF"/>
                <w:sz w:val="20"/>
                <w:szCs w:val="20"/>
              </w:rPr>
              <w:t xml:space="preserve">WebSocket / STOMP</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b w:val="false"/>
                <w:bCs w:val="false"/>
                <w:color w:val="000000"/>
                <w:sz w:val="19"/>
                <w:szCs w:val="19"/>
              </w:rPr>
              <w:t xml:space="preserve">Infrastructure à exploiter</w:t>
            </w:r>
          </w:p>
        </w:tc>
        <w:tc>
          <w:tcPr>
            <w:tcW w:type="dxa" w:w="27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b w:val="false"/>
                <w:bCs w:val="false"/>
                <w:color w:val="000000"/>
                <w:sz w:val="19"/>
                <w:szCs w:val="19"/>
              </w:rPr>
              <w:t xml:space="preserve">Aucune (RestTemplate + lib Java embarquée)</w:t>
            </w:r>
          </w:p>
        </w:tc>
        <w:tc>
          <w:tcPr>
            <w:tcW w:type="dxa" w:w="23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b w:val="false"/>
                <w:bCs w:val="false"/>
                <w:color w:val="000000"/>
                <w:sz w:val="19"/>
                <w:szCs w:val="19"/>
              </w:rPr>
              <w:t xml:space="preserve">Un nouveau composant à déployer, superviser, sécuriser</w:t>
            </w:r>
          </w:p>
        </w:tc>
        <w:tc>
          <w:tcPr>
            <w:tcW w:type="dxa" w:w="21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b w:val="false"/>
                <w:bCs w:val="false"/>
                <w:color w:val="000000"/>
                <w:sz w:val="19"/>
                <w:szCs w:val="19"/>
              </w:rPr>
              <w:t xml:space="preserve">Pas de nouveau composant, mais gestion d'état de connexion</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b w:val="false"/>
                <w:bCs w:val="false"/>
                <w:color w:val="000000"/>
                <w:sz w:val="19"/>
                <w:szCs w:val="19"/>
              </w:rPr>
              <w:t xml:space="preserve">Garantie de livraison</w:t>
            </w:r>
          </w:p>
        </w:tc>
        <w:tc>
          <w:tcPr>
            <w:tcW w:type="dxa" w:w="27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b w:val="false"/>
                <w:bCs w:val="false"/>
                <w:color w:val="000000"/>
                <w:sz w:val="19"/>
                <w:szCs w:val="19"/>
              </w:rPr>
              <w:t xml:space="preserve">Best effort : perte possible si panne prolongée</w:t>
            </w:r>
          </w:p>
        </w:tc>
        <w:tc>
          <w:tcPr>
            <w:tcW w:type="dxa" w:w="23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b w:val="false"/>
                <w:bCs w:val="false"/>
                <w:color w:val="000000"/>
                <w:sz w:val="19"/>
                <w:szCs w:val="19"/>
              </w:rPr>
              <w:t xml:space="preserve">Forte : message mis en file tant que le consommateur est indisponible</w:t>
            </w:r>
          </w:p>
        </w:tc>
        <w:tc>
          <w:tcPr>
            <w:tcW w:type="dxa" w:w="21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b w:val="false"/>
                <w:bCs w:val="false"/>
                <w:color w:val="000000"/>
                <w:sz w:val="19"/>
                <w:szCs w:val="19"/>
              </w:rPr>
              <w:t xml:space="preserve">Aucune si le client n'est pas connecté au moment de l'envoi</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b w:val="false"/>
                <w:bCs w:val="false"/>
                <w:color w:val="000000"/>
                <w:sz w:val="19"/>
                <w:szCs w:val="19"/>
              </w:rPr>
              <w:t xml:space="preserve">Latence perçue</w:t>
            </w:r>
          </w:p>
        </w:tc>
        <w:tc>
          <w:tcPr>
            <w:tcW w:type="dxa" w:w="27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b w:val="false"/>
                <w:bCs w:val="false"/>
                <w:color w:val="000000"/>
                <w:sz w:val="19"/>
                <w:szCs w:val="19"/>
              </w:rPr>
              <w:t xml:space="preserve">~6 s (polling messagerie) / immédiate (notification, si succès)</w:t>
            </w:r>
          </w:p>
        </w:tc>
        <w:tc>
          <w:tcPr>
            <w:tcW w:type="dxa" w:w="23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b w:val="false"/>
                <w:bCs w:val="false"/>
                <w:color w:val="000000"/>
                <w:sz w:val="19"/>
                <w:szCs w:val="19"/>
              </w:rPr>
              <w:t xml:space="preserve">Quasi immédiate côté consommateur</w:t>
            </w:r>
          </w:p>
        </w:tc>
        <w:tc>
          <w:tcPr>
            <w:tcW w:type="dxa" w:w="21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b w:val="false"/>
                <w:bCs w:val="false"/>
                <w:color w:val="000000"/>
                <w:sz w:val="19"/>
                <w:szCs w:val="19"/>
              </w:rPr>
              <w:t xml:space="preserve">Immédiate (vrai temps réel)</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b w:val="false"/>
                <w:bCs w:val="false"/>
                <w:color w:val="000000"/>
                <w:sz w:val="19"/>
                <w:szCs w:val="19"/>
              </w:rPr>
              <w:t xml:space="preserve">Complexité d'intégration avec l'existant</w:t>
            </w:r>
          </w:p>
        </w:tc>
        <w:tc>
          <w:tcPr>
            <w:tcW w:type="dxa" w:w="27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b w:val="false"/>
                <w:bCs w:val="false"/>
                <w:color w:val="000000"/>
                <w:sz w:val="19"/>
                <w:szCs w:val="19"/>
              </w:rPr>
              <w:t xml:space="preserve">Faible : RestTemplate déjà utilisé partout, Eureka/Gateway inchangés</w:t>
            </w:r>
          </w:p>
        </w:tc>
        <w:tc>
          <w:tcPr>
            <w:tcW w:type="dxa" w:w="23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b w:val="false"/>
                <w:bCs w:val="false"/>
                <w:color w:val="000000"/>
                <w:sz w:val="19"/>
                <w:szCs w:val="19"/>
              </w:rPr>
              <w:t xml:space="preserve">Élevée : nouveau protocole, sérialisation, gestion des offsets/ack</w:t>
            </w:r>
          </w:p>
        </w:tc>
        <w:tc>
          <w:tcPr>
            <w:tcW w:type="dxa" w:w="21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b w:val="false"/>
                <w:bCs w:val="false"/>
                <w:color w:val="000000"/>
                <w:sz w:val="19"/>
                <w:szCs w:val="19"/>
              </w:rPr>
              <w:t xml:space="preserve">Moyenne à élevée : le Gateway doit relayer les connexions persistantes</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b w:val="false"/>
                <w:bCs w:val="false"/>
                <w:color w:val="000000"/>
                <w:sz w:val="19"/>
                <w:szCs w:val="19"/>
              </w:rPr>
              <w:t xml:space="preserve">Adapté au volume du projet (cabinet, usage académique)</w:t>
            </w:r>
          </w:p>
        </w:tc>
        <w:tc>
          <w:tcPr>
            <w:tcW w:type="dxa" w:w="27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b w:val="false"/>
                <w:bCs w:val="false"/>
                <w:color w:val="000000"/>
                <w:sz w:val="19"/>
                <w:szCs w:val="19"/>
              </w:rPr>
              <w:t xml:space="preserve">Oui, conçu pour ce volume</w:t>
            </w:r>
          </w:p>
        </w:tc>
        <w:tc>
          <w:tcPr>
            <w:tcW w:type="dxa" w:w="23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b w:val="false"/>
                <w:bCs w:val="false"/>
                <w:color w:val="000000"/>
                <w:sz w:val="19"/>
                <w:szCs w:val="19"/>
              </w:rPr>
              <w:t xml:space="preserve">Surdimensionné pour ce volume</w:t>
            </w:r>
          </w:p>
        </w:tc>
        <w:tc>
          <w:tcPr>
            <w:tcW w:type="dxa" w:w="21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b w:val="false"/>
                <w:bCs w:val="false"/>
                <w:color w:val="000000"/>
                <w:sz w:val="19"/>
                <w:szCs w:val="19"/>
              </w:rPr>
              <w:t xml:space="preserve">Pertinent seulement si le vrai temps réel est exigé</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b w:val="false"/>
                <w:bCs w:val="false"/>
                <w:color w:val="000000"/>
                <w:sz w:val="19"/>
                <w:szCs w:val="19"/>
              </w:rPr>
              <w:t xml:space="preserve">Effort de mise en œuvre dans le temps du mémoire</w:t>
            </w:r>
          </w:p>
        </w:tc>
        <w:tc>
          <w:tcPr>
            <w:tcW w:type="dxa" w:w="27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b w:val="false"/>
                <w:bCs w:val="false"/>
                <w:color w:val="000000"/>
                <w:sz w:val="19"/>
                <w:szCs w:val="19"/>
              </w:rPr>
              <w:t xml:space="preserve">Déjà fait et testé</w:t>
            </w:r>
          </w:p>
        </w:tc>
        <w:tc>
          <w:tcPr>
            <w:tcW w:type="dxa" w:w="23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b w:val="false"/>
                <w:bCs w:val="false"/>
                <w:color w:val="000000"/>
                <w:sz w:val="19"/>
                <w:szCs w:val="19"/>
              </w:rPr>
              <w:t xml:space="preserve">Important (apprentissage + infra + tests)</w:t>
            </w:r>
          </w:p>
        </w:tc>
        <w:tc>
          <w:tcPr>
            <w:tcW w:type="dxa" w:w="21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b w:val="false"/>
                <w:bCs w:val="false"/>
                <w:color w:val="000000"/>
                <w:sz w:val="19"/>
                <w:szCs w:val="19"/>
              </w:rPr>
              <w:t xml:space="preserve">Modéré à important</w:t>
            </w:r>
          </w:p>
        </w:tc>
      </w:tr>
    </w:tbl>
    <w:p>
      <w:pPr>
        <w:spacing w:before="200"/>
      </w:pPr>
    </w:p>
    <w:p>
      <w:pPr>
        <w:pStyle w:val="Heading1"/>
      </w:pPr>
      <w:r>
        <w:t xml:space="preserve">5. Conclusion</w:t>
      </w:r>
    </w:p>
    <w:p>
      <w:pPr>
        <w:spacing w:after="160"/>
      </w:pPr>
      <w:r>
        <w:t xml:space="preserve">Dans les deux cas, le choix n'est pas une méconnaissance de Kafka, RabbitMQ ou WebSocket, mais un dimensionnement délibéré de la solution technique au problème réellement posé : un flux de notifications 1-vers-1 à faible volume et tolérant à la perte (REST + Resilience4j suffit), et une messagerie de cabinet tolérante à quelques secondes de latence (le polling suffit). Ces choix sont documentés ici avec leurs limites assumées plutôt que présentés comme des solutions définitives, afin de pouvoir être défendus devant le jury et de constituer une base claire pour d'éventuelles perspectives d'évolution (introduction d'un broker de type RabbitMQ pour les notifications si la fiabilité de livraison devenait critique, ou d'un WebSocket pour la messagerie si un vrai temps réel devenait un besoin produit).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PsyConnect — Communication asynchrone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6F5C"/>
      <w:sz w:val="30"/>
      <w:szCs w:val="30"/>
    </w:rPr>
  </w:style>
  <w:style w:type="paragraph" w:styleId="Heading2">
    <w:name w:val="Heading 2"/>
    <w:basedOn w:val="Normal"/>
    <w:next w:val="Normal"/>
    <w:qFormat/>
    <w:pPr>
      <w:spacing w:after="140" w:before="240"/>
      <w:outlineLvl w:val="1"/>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2026-06-26T16:42:48.870Z</dcterms:created>
  <dcterms:modified xsi:type="dcterms:W3CDTF">2026-06-26T16:42:48.871Z</dcterms:modified>
</cp:coreProperties>
</file>

<file path=docProps/custom.xml><?xml version="1.0" encoding="utf-8"?>
<Properties xmlns="http://schemas.openxmlformats.org/officeDocument/2006/custom-properties" xmlns:vt="http://schemas.openxmlformats.org/officeDocument/2006/docPropsVTypes"/>
</file>