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spacing w:before="0" w:after="20"/>
      </w:pPr>
      <w:r>
        <w:rPr>
          <w:b/>
          <w:color w:val="10201D"/>
          <w:spacing w:val="-8"/>
          <w:sz w:val="42"/>
          <w:szCs w:val="42"/>
        </w:rPr>
        <w:t xml:space="preserve">Nicholas D. Gray, Ph.D.</w:t>
      </w:r>
    </w:p>
    <w:p>
      <w:pPr>
        <w:spacing w:before="0" w:after="60"/>
      </w:pPr>
      <w:r>
        <w:rPr>
          <w:b/>
          <w:caps/>
          <w:color w:val="0D7361"/>
          <w:spacing w:val="30"/>
          <w:sz w:val="19"/>
          <w:szCs w:val="19"/>
        </w:rPr>
        <w:t xml:space="preserve">Quantitative Researcher</w:t>
      </w:r>
    </w:p>
    <w:p>
      <w:pPr>
        <w:pBdr>
          <w:bottom w:val="single" w:sz="6" w:space="2" w:color="CFD8D5"/>
        </w:pBdr>
        <w:spacing w:before="0" w:after="140"/>
      </w:pPr>
      <w:r>
        <w:rPr>
          <w:color w:val="5C6B68"/>
          <w:sz w:val="17"/>
          <w:szCs w:val="17"/>
        </w:rPr>
        <w:t xml:space="preserve">ndgray00@gmail.com  |  513-504-0179  |  Maryland Heights, MO  |  ndg13b.github.io/Resume  |  github.com/ndg13b</w:t>
      </w:r>
    </w:p>
    <w:p>
      <w:pPr>
        <w:spacing w:before="100" w:after="40"/>
      </w:pPr>
      <w:r>
        <w:rPr>
          <w:color w:val="263533"/>
          <w:sz w:val="20"/>
          <w:szCs w:val="20"/>
        </w:rPr>
        <w:t xml:space="preserve">Researcher with a Ph.D. in Cognitive Psychology and nine years designing, running, and analyzing behavioral health studies, including large-scale clinical trials on cognitive aging. Works across mixed methods — instrument development, survey fielding, qualitative analysis, and quantitative analysis from descriptives through structural equation modeling — and brings four years of industry data engineering in SQL and Python to data preparation and reporting. Published in peer-reviewed health and aging journals.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Research &amp; Analytic Skills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Research Methods:  </w:t>
      </w:r>
      <w:r>
        <w:rPr>
          <w:color w:val="263533"/>
          <w:sz w:val="19"/>
          <w:szCs w:val="19"/>
        </w:rPr>
        <w:t xml:space="preserve">Experimental design, Survey &amp; instrument development, Sampling &amp; power analysis, IRB preparation &amp; submission, Qualitative interviews &amp; analysis, Mixed-methods integration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Statistical Analysis:  </w:t>
      </w:r>
      <w:r>
        <w:rPr>
          <w:color w:val="263533"/>
          <w:sz w:val="19"/>
          <w:szCs w:val="19"/>
        </w:rPr>
        <w:t xml:space="preserve">Descriptive &amp; inferential statistics, ANOVA, Regression (linear &amp; logistic), Multivariate analysis, Structural equation modeling, Meta-analysis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Tools:  </w:t>
      </w:r>
      <w:r>
        <w:rPr>
          <w:color w:val="263533"/>
          <w:sz w:val="19"/>
          <w:szCs w:val="19"/>
        </w:rPr>
        <w:t xml:space="preserve">Python (proficient), R, SPSS, SQL / Microsoft SQL Server, Qualtrics, MATLAB, Microsoft Excel (proficient)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Data &amp; Reporting:  </w:t>
      </w:r>
      <w:r>
        <w:rPr>
          <w:color w:val="263533"/>
          <w:sz w:val="19"/>
          <w:szCs w:val="19"/>
        </w:rPr>
        <w:t xml:space="preserve">Data cleaning &amp; merging, ETL, Automated reporting pipelines, Data visualization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Communication:  </w:t>
      </w:r>
      <w:r>
        <w:rPr>
          <w:color w:val="263533"/>
          <w:sz w:val="19"/>
          <w:szCs w:val="19"/>
        </w:rPr>
        <w:t xml:space="preserve">Manuscript writing, Stakeholder reporting, Technical writing, Presentation &amp; teaching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Professional Experience</w:t>
      </w:r>
    </w:p>
    <w:p>
      <w:pPr>
        <w:keepNext/>
        <w:tabs>
          <w:tab w:val="right" w:pos="10080"/>
        </w:tabs>
        <w:spacing w:before="110" w:after="0"/>
      </w:pPr>
      <w:r>
        <w:rPr>
          <w:b/>
          <w:color w:val="10201D"/>
          <w:sz w:val="21"/>
          <w:szCs w:val="21"/>
        </w:rPr>
        <w:t xml:space="preserve">Data Scientist</w:t>
      </w:r>
      <w:r>
        <w:tab/>
      </w:r>
      <w:r>
        <w:rPr>
          <w:color w:val="5C6B68"/>
          <w:sz w:val="17"/>
          <w:szCs w:val="17"/>
        </w:rPr>
        <w:t xml:space="preserve">Oct 2022 – Present</w:t>
      </w:r>
    </w:p>
    <w:p>
      <w:pPr>
        <w:keepNext/>
        <w:spacing w:before="0" w:after="50"/>
      </w:pPr>
      <w:r>
        <w:rPr>
          <w:i/>
          <w:color w:val="3D4D4A"/>
          <w:sz w:val="19"/>
          <w:szCs w:val="19"/>
        </w:rPr>
        <w:t xml:space="preserve">Safety National Casualty Corporation  ·  St. Louis, MO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Design custom analyses out of exploratory investigation, tailoring method and reporting to the question each stakeholder is actually asking.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Extract and join data from large, complex sources in Microsoft SQL Server, then clean, merge, and reshape it in Python for analysis.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Built an automated reporting pipeline that calls an LLM to generate written insights alongside the quantitative results.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Build analytics reports and dashboards for internal teams and external stakeholders, and validate output from established predictive models.</w:t>
      </w:r>
    </w:p>
    <w:p>
      <w:pPr>
        <w:keepNext/>
        <w:tabs>
          <w:tab w:val="right" w:pos="10080"/>
        </w:tabs>
        <w:spacing w:before="110" w:after="0"/>
      </w:pPr>
      <w:r>
        <w:rPr>
          <w:b/>
          <w:color w:val="10201D"/>
          <w:sz w:val="21"/>
          <w:szCs w:val="21"/>
        </w:rPr>
        <w:t xml:space="preserve">Postdoctoral Researcher — Quantitative Analysis</w:t>
      </w:r>
      <w:r>
        <w:tab/>
      </w:r>
      <w:r>
        <w:rPr>
          <w:color w:val="5C6B68"/>
          <w:sz w:val="17"/>
          <w:szCs w:val="17"/>
        </w:rPr>
        <w:t xml:space="preserve">Aug 2019 – Oct 2022</w:t>
      </w:r>
    </w:p>
    <w:p>
      <w:pPr>
        <w:keepNext/>
        <w:spacing w:before="0" w:after="50"/>
      </w:pPr>
      <w:r>
        <w:rPr>
          <w:i/>
          <w:color w:val="3D4D4A"/>
          <w:sz w:val="19"/>
          <w:szCs w:val="19"/>
        </w:rPr>
        <w:t xml:space="preserve">Institute for Successful Longevity, Florida State University  ·  Tallahassee, FL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Led statistical analysis for large-scale behavioral clinical trials on healthy cognitive aging, working across longitudinal datasets and multiple analysis platforms.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Designed and programmed studies end to end, preparing and submitting the IRB applications and building and fielding survey instruments in Qualtrics.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Established statistical performance norms and built regression models identifying the variables that drive cognitive outcomes.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Integrated qualitative data from surveys and interviews with quantitative measures to produce findings neither stream would support alone.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Published results in peer-reviewed journals and presented findings at national conferences.</w:t>
      </w:r>
    </w:p>
    <w:p>
      <w:pPr>
        <w:keepNext/>
        <w:tabs>
          <w:tab w:val="right" w:pos="10080"/>
        </w:tabs>
        <w:spacing w:before="110" w:after="0"/>
      </w:pPr>
      <w:r>
        <w:rPr>
          <w:b/>
          <w:color w:val="10201D"/>
          <w:sz w:val="21"/>
          <w:szCs w:val="21"/>
        </w:rPr>
        <w:t xml:space="preserve">Graduate Researcher</w:t>
      </w:r>
      <w:r>
        <w:tab/>
      </w:r>
      <w:r>
        <w:rPr>
          <w:color w:val="5C6B68"/>
          <w:sz w:val="17"/>
          <w:szCs w:val="17"/>
        </w:rPr>
        <w:t xml:space="preserve">Aug 2013 – May 2019</w:t>
      </w:r>
    </w:p>
    <w:p>
      <w:pPr>
        <w:keepNext/>
        <w:spacing w:before="0" w:after="50"/>
      </w:pPr>
      <w:r>
        <w:rPr>
          <w:i/>
          <w:color w:val="3D4D4A"/>
          <w:sz w:val="19"/>
          <w:szCs w:val="19"/>
        </w:rPr>
        <w:t xml:space="preserve">Department of Psychology, Florida State University  ·  Tallahassee, FL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Modeled experimental data with logistic regression and related statistical methods across several software platforms.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Designed, programmed, and ran grant-funded experimental research; managed the lab, recruiting and supervising undergraduate researchers.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Taught laboratory sections of Cognitive Psychology for three years and co-instructed an online Careers in Psychology course, translating research concepts and methods for non-expert audiences.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Education</w:t>
      </w:r>
    </w:p>
    <w:p>
      <w:pPr>
        <w:keepNext/>
        <w:tabs>
          <w:tab w:val="right" w:pos="10080"/>
        </w:tabs>
        <w:spacing w:before="90" w:after="0"/>
      </w:pPr>
      <w:r>
        <w:rPr>
          <w:b/>
          <w:color w:val="10201D"/>
          <w:sz w:val="20"/>
          <w:szCs w:val="20"/>
        </w:rPr>
        <w:t xml:space="preserve">Ph.D., Cognitive Psychology</w:t>
      </w:r>
      <w:r>
        <w:tab/>
      </w:r>
      <w:r>
        <w:rPr>
          <w:color w:val="5C6B68"/>
          <w:sz w:val="17"/>
          <w:szCs w:val="17"/>
        </w:rPr>
        <w:t xml:space="preserve">2019</w:t>
      </w:r>
    </w:p>
    <w:p>
      <w:pPr>
        <w:spacing w:before="0" w:after="0"/>
      </w:pPr>
      <w:r>
        <w:rPr>
          <w:color w:val="3D4D4A"/>
          <w:sz w:val="19"/>
          <w:szCs w:val="19"/>
        </w:rPr>
        <w:t xml:space="preserve">Florida State University</w:t>
      </w:r>
    </w:p>
    <w:p>
      <w:pPr>
        <w:spacing w:before="0" w:after="30"/>
      </w:pPr>
      <w:r>
        <w:rPr>
          <w:i/>
          <w:color w:val="5C6B68"/>
          <w:sz w:val="18"/>
          <w:szCs w:val="18"/>
        </w:rPr>
        <w:t xml:space="preserve">Thesis: The causes of and influences on being reminded</w:t>
      </w:r>
    </w:p>
    <w:p>
      <w:pPr>
        <w:keepNext/>
        <w:tabs>
          <w:tab w:val="right" w:pos="10080"/>
        </w:tabs>
        <w:spacing w:before="90" w:after="0"/>
      </w:pPr>
      <w:r>
        <w:rPr>
          <w:b/>
          <w:color w:val="10201D"/>
          <w:sz w:val="20"/>
          <w:szCs w:val="20"/>
        </w:rPr>
        <w:t xml:space="preserve">M.S., Cognitive Psychology</w:t>
      </w:r>
      <w:r>
        <w:tab/>
      </w:r>
      <w:r>
        <w:rPr>
          <w:color w:val="5C6B68"/>
          <w:sz w:val="17"/>
          <w:szCs w:val="17"/>
        </w:rPr>
        <w:t xml:space="preserve">2016</w:t>
      </w:r>
    </w:p>
    <w:p>
      <w:pPr>
        <w:spacing w:before="0" w:after="0"/>
      </w:pPr>
      <w:r>
        <w:rPr>
          <w:color w:val="3D4D4A"/>
          <w:sz w:val="19"/>
          <w:szCs w:val="19"/>
        </w:rPr>
        <w:t xml:space="preserve">Florida State University</w:t>
      </w:r>
    </w:p>
    <w:p>
      <w:pPr>
        <w:spacing w:before="0" w:after="30"/>
      </w:pPr>
      <w:r>
        <w:rPr>
          <w:i/>
          <w:color w:val="5C6B68"/>
          <w:sz w:val="18"/>
          <w:szCs w:val="18"/>
        </w:rPr>
        <w:t xml:space="preserve">Thesis: Avoiding interference: Differentiation and reminding</w:t>
      </w:r>
    </w:p>
    <w:p>
      <w:pPr>
        <w:keepNext/>
        <w:tabs>
          <w:tab w:val="right" w:pos="10080"/>
        </w:tabs>
        <w:spacing w:before="90" w:after="0"/>
      </w:pPr>
      <w:r>
        <w:rPr>
          <w:b/>
          <w:color w:val="10201D"/>
          <w:sz w:val="20"/>
          <w:szCs w:val="20"/>
        </w:rPr>
        <w:t xml:space="preserve">B.S., Psychology, cum laude</w:t>
      </w:r>
      <w:r>
        <w:tab/>
      </w:r>
      <w:r>
        <w:rPr>
          <w:color w:val="5C6B68"/>
          <w:sz w:val="17"/>
          <w:szCs w:val="17"/>
        </w:rPr>
        <w:t xml:space="preserve">2012</w:t>
      </w:r>
    </w:p>
    <w:p>
      <w:pPr>
        <w:spacing w:before="0" w:after="30"/>
      </w:pPr>
      <w:r>
        <w:rPr>
          <w:color w:val="3D4D4A"/>
          <w:sz w:val="19"/>
          <w:szCs w:val="19"/>
        </w:rPr>
        <w:t xml:space="preserve">Ohio State University</w:t>
      </w:r>
    </w:p>
    <w:p>
      <w:pPr>
        <w:spacing w:before="90" w:after="30"/>
      </w:pPr>
      <w:r>
        <w:rPr>
          <w:b/>
          <w:color w:val="0D7361"/>
          <w:sz w:val="18"/>
          <w:szCs w:val="18"/>
        </w:rPr>
        <w:t xml:space="preserve">Graduate methods training:  </w:t>
      </w:r>
      <w:r>
        <w:rPr>
          <w:color w:val="3D4D4A"/>
          <w:sz w:val="19"/>
          <w:szCs w:val="19"/>
        </w:rPr>
        <w:t xml:space="preserve">ANOVA, regression, meta-analysis, structural equation modeling</w:t>
      </w:r>
    </w:p>
    <w:p>
      <w:pPr>
        <w:spacing w:before="0" w:after="40"/>
      </w:pPr>
      <w:r>
        <w:rPr>
          <w:b/>
          <w:color w:val="0D7361"/>
          <w:sz w:val="18"/>
          <w:szCs w:val="18"/>
        </w:rPr>
        <w:t xml:space="preserve">Additional coursework:  </w:t>
      </w:r>
      <w:r>
        <w:rPr>
          <w:color w:val="3D4D4A"/>
          <w:sz w:val="19"/>
          <w:szCs w:val="19"/>
        </w:rPr>
        <w:t xml:space="preserve">Machine Learning with Python; Microsoft SQL Server (independently completed)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Selected Publications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Gray, N., &amp; Charness, N. (2022). Technology obsolescence across the adult lifespan in a USA internet sample. Frontiers in Public Health, 10, 1005822.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Gray, N., Yoon, J.-S., Charness, N., Boot, W. R., et al. (2021). Relative effectiveness of general versus specific cognitive training for aging adults. Psychology and Aging, 37(2), 210–221.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Carr, D. C., Tian, S., He, Z., et al., incl. Gray, N. (2022). Motivation to engage in aging research: Are there typologies and predictors? The Gerontologist, gnac035.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Charness, N., Boot, W. R., &amp; Gray, N. (2020). Mobile monitoring and intervention technology (MMI) for adaptive aging. In Mobile Technology for Adaptive Aging: Proceedings of a Workshop (pp. 21–40). National Academies Press.</w:t>
      </w:r>
    </w:p>
    <w:p>
      <w:pPr>
        <w:spacing w:before="60" w:after="0"/>
      </w:pPr>
      <w:r>
        <w:rPr>
          <w:i/>
          <w:color w:val="5C6B68"/>
          <w:sz w:val="18"/>
          <w:szCs w:val="18"/>
        </w:rPr>
        <w:t xml:space="preserve">Conference presentations at the Psychonomic Society (2018) and the Cognitive Aging Conference (2022).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Selected Projects</w:t>
      </w:r>
    </w:p>
    <w:p>
      <w:pPr>
        <w:keepNext/>
        <w:spacing w:before="90" w:after="10"/>
      </w:pPr>
      <w:r>
        <w:rPr>
          <w:b/>
          <w:color w:val="10201D"/>
          <w:sz w:val="20"/>
          <w:szCs w:val="20"/>
        </w:rPr>
        <w:t xml:space="preserve">adherence</w:t>
      </w:r>
      <w:r>
        <w:rPr>
          <w:color w:val="5C6B68"/>
          <w:sz w:val="17"/>
          <w:szCs w:val="17"/>
        </w:rPr>
        <w:t xml:space="preserve">  —  Python  ·  github.com/ndg13b/adherence</w:t>
      </w:r>
    </w:p>
    <w:p>
      <w:pPr>
        <w:spacing w:before="0" w:after="30"/>
      </w:pPr>
      <w:r>
        <w:rPr>
          <w:color w:val="263533"/>
          <w:sz w:val="19"/>
          <w:szCs w:val="19"/>
        </w:rPr>
        <w:t xml:space="preserve">Scores how regular a behavior is — not just how often it happens — from nothing but a list of timestamps, then forecasts when the next session will land. The same model applies to medication timing, exercise, physiotherapy, or a training program.</w:t>
      </w:r>
    </w:p>
    <w:p>
      <w:pPr>
        <w:keepNext/>
        <w:spacing w:before="90" w:after="10"/>
      </w:pPr>
      <w:r>
        <w:rPr>
          <w:b/>
          <w:color w:val="10201D"/>
          <w:sz w:val="20"/>
          <w:szCs w:val="20"/>
        </w:rPr>
        <w:t xml:space="preserve">CivicGateway</w:t>
      </w:r>
      <w:r>
        <w:rPr>
          <w:color w:val="5C6B68"/>
          <w:sz w:val="17"/>
          <w:szCs w:val="17"/>
        </w:rPr>
        <w:t xml:space="preserve">  —  JavaScript  ·  civicgateway.org</w:t>
      </w:r>
    </w:p>
    <w:p>
      <w:pPr>
        <w:spacing w:before="0" w:after="30"/>
      </w:pPr>
      <w:r>
        <w:rPr>
          <w:color w:val="263533"/>
          <w:sz w:val="19"/>
          <w:szCs w:val="19"/>
        </w:rPr>
        <w:t xml:space="preserve">A nonpartisan site showing upcoming elections and elected officials by city; static front end over a Supabase/PostgreSQL back end with a schema designed from scratch, row-level security, and an offline fallback.</w:t>
      </w:r>
    </w:p>
    <w:p>
      <w:pPr>
        <w:keepNext/>
        <w:spacing w:before="90" w:after="10"/>
      </w:pPr>
      <w:r>
        <w:rPr>
          <w:b/>
          <w:color w:val="10201D"/>
          <w:sz w:val="20"/>
          <w:szCs w:val="20"/>
        </w:rPr>
        <w:t xml:space="preserve">tuned-in</w:t>
      </w:r>
      <w:r>
        <w:rPr>
          <w:color w:val="5C6B68"/>
          <w:sz w:val="17"/>
          <w:szCs w:val="17"/>
        </w:rPr>
        <w:t xml:space="preserve">  —  JavaScript  ·  ndg13b.github.io/tuned-in</w:t>
      </w:r>
    </w:p>
    <w:p>
      <w:pPr>
        <w:spacing w:before="0" w:after="30"/>
      </w:pPr>
      <w:r>
        <w:rPr>
          <w:color w:val="263533"/>
          <w:sz w:val="19"/>
          <w:szCs w:val="19"/>
        </w:rPr>
        <w:t xml:space="preserve">A teaching collection pairing pop-culture clips with the cognitive psychology they demonstrate — and, just as often, get wrong. Each concept is labeled accurate, overstated, or myth.</w:t>
      </w:r>
    </w:p>
    <w:sectPr>
      <w:pgSz w:w="12240" w:h="15840"/>
      <w:pgMar w:top="1008" w:right="1080" w:bottom="1008" w:left="108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–"/>
      <w:lvlJc w:val="left"/>
      <w:pPr>
        <w:ind w:left="360" w:hanging="220"/>
      </w:pPr>
      <w:rPr>
        <w:rFonts w:ascii="Calibri" w:hAnsi="Calibri" w:hint="default"/>
        <w:color w:val="0D7361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color w:val="263533"/>
        <w:sz w:val="20"/>
        <w:szCs w:val="20"/>
        <w:lang w:val="en-US"/>
      </w:rPr>
    </w:rPrDefault>
    <w:pPrDefault>
      <w:pPr>
        <w:spacing w:after="0" w:line="252" w:lineRule="auto"/>
      </w:pPr>
    </w:pPrDefault>
  </w:docDefaults>
  <w:style w:type="paragraph" w:default="1" w:styleId="Normal">
    <w:name w:val="Normal"/>
    <w:qFormat/>
  </w:style>
  <w:style w:type="numbering" w:default="1" w:styleId="NoList">
    <w:name w:val="No List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Nicholas D. Gray, Ph.D. — Resume</dc:title>
  <dc:creator>Nicholas D. Gray, Ph.D.</dc:creator>
  <cp:lastModifiedBy>Nicholas D. Gray, Ph.D.</cp:lastModifiedBy>
  <dcterms:created xsi:type="dcterms:W3CDTF">2026-08-20T00:00:00Z</dcterms:created>
  <dcterms:modified xsi:type="dcterms:W3CDTF">2026-08-20T00:00:00Z</dcterms:modified>
</cp:coreProperties>
</file>