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68A7A" w14:textId="24090861" w:rsidR="00B8755A" w:rsidRDefault="00B8755A" w:rsidP="00B8755A">
      <w:r>
        <w:t xml:space="preserve">Standard geographic exposure assessment in health research anchors on residential address, treating the census tract where a person lives as the unit of environmental analysis. This assumption is methodologically convenient but substantively incomplete: Americans spend substantial time outside commuting, </w:t>
      </w:r>
      <w:r>
        <w:t xml:space="preserve">working, </w:t>
      </w:r>
      <w:r>
        <w:t xml:space="preserve">accessing healthcare, and navigating the commercial, food, and recreational environments that shape chronic disease risk. </w:t>
      </w:r>
      <w:proofErr w:type="spellStart"/>
      <w:r>
        <w:t>Veraset</w:t>
      </w:r>
      <w:proofErr w:type="spellEnd"/>
      <w:r>
        <w:t xml:space="preserve"> Movement data</w:t>
      </w:r>
      <w:r>
        <w:t xml:space="preserve"> </w:t>
      </w:r>
      <w:r>
        <w:t xml:space="preserve">offers an opportunity to construct activity-space-weighted exposure measures at population scale. </w:t>
      </w:r>
      <w:r>
        <w:t>We</w:t>
      </w:r>
      <w:r>
        <w:t xml:space="preserve"> </w:t>
      </w:r>
      <w:r>
        <w:t>aim to</w:t>
      </w:r>
      <w:r>
        <w:t xml:space="preserve"> </w:t>
      </w:r>
      <w:r>
        <w:t>use</w:t>
      </w:r>
      <w:r>
        <w:t xml:space="preserve"> </w:t>
      </w:r>
      <w:proofErr w:type="spellStart"/>
      <w:r>
        <w:t>Veraset</w:t>
      </w:r>
      <w:proofErr w:type="spellEnd"/>
      <w:r>
        <w:t xml:space="preserve"> </w:t>
      </w:r>
      <w:r>
        <w:t>Movement</w:t>
      </w:r>
      <w:r>
        <w:t xml:space="preserve"> to characterize the residential–activity-space exposure gap, test whether activity-space-based built-environment measures improve prediction of health outcomes beyond residential </w:t>
      </w:r>
      <w:r>
        <w:t>measures and</w:t>
      </w:r>
      <w:r>
        <w:t xml:space="preserve"> identify the populations and outcome domains where mobility-derived exposures matter most.</w:t>
      </w:r>
    </w:p>
    <w:p w14:paraId="31FA5DB9" w14:textId="5B2A3556" w:rsidR="00B8755A" w:rsidRDefault="00B8755A" w:rsidP="00B8755A">
      <w:r>
        <w:t>This project builds on ongoing work using geospatial foundation model (GFM) embeddings derived from satellite imagery (</w:t>
      </w:r>
      <w:r>
        <w:t xml:space="preserve">e.g., </w:t>
      </w:r>
      <w:proofErr w:type="spellStart"/>
      <w:r>
        <w:t>AlphaEarth</w:t>
      </w:r>
      <w:proofErr w:type="spellEnd"/>
      <w:r>
        <w:t xml:space="preserve"> Foundations</w:t>
      </w:r>
      <w:r>
        <w:t>, Prithvi-EO-2.0</w:t>
      </w:r>
      <w:r>
        <w:t xml:space="preserve">, </w:t>
      </w:r>
      <w:proofErr w:type="spellStart"/>
      <w:r>
        <w:t>OlmoEarth</w:t>
      </w:r>
      <w:proofErr w:type="spellEnd"/>
      <w:r>
        <w:t xml:space="preserve">) as supplements to </w:t>
      </w:r>
      <w:r>
        <w:t xml:space="preserve">conventional </w:t>
      </w:r>
      <w:r>
        <w:t xml:space="preserve">area-based social risk indices (ABSRIs) in health outcome prediction. Preliminary results from the Stanford Center for Population Health Sciences show that </w:t>
      </w:r>
      <w:r>
        <w:t>GFM</w:t>
      </w:r>
      <w:r>
        <w:t xml:space="preserve"> embeddings add </w:t>
      </w:r>
      <w:r>
        <w:t>meaningfully</w:t>
      </w:r>
      <w:r>
        <w:t xml:space="preserve"> to ABSRI-based prediction for preventive care access and respiratory outcomes, but not for conditions where resident socioeconomic characteristics are more determinative. A central unresolved question is whether this heterogeneity reflects what residential built environments contain, or where people </w:t>
      </w:r>
      <w:r>
        <w:t>spend their time.</w:t>
      </w:r>
      <w:r>
        <w:t xml:space="preserve"> </w:t>
      </w:r>
      <w:r>
        <w:t>Mobility</w:t>
      </w:r>
      <w:r>
        <w:t xml:space="preserve"> data </w:t>
      </w:r>
      <w:r>
        <w:t>may</w:t>
      </w:r>
      <w:r>
        <w:t xml:space="preserve"> </w:t>
      </w:r>
      <w:r>
        <w:t>help clarify the source of this variation in performance</w:t>
      </w:r>
      <w:r>
        <w:t>. The proposed work will directly address this gap and inform whether activity-space-weighted satellite embeddings can serve as a richer, causally interpretable geographic exposure measure.</w:t>
      </w:r>
    </w:p>
    <w:p w14:paraId="76332605" w14:textId="7D4D0DF6" w:rsidR="00B8755A" w:rsidRPr="00B8755A" w:rsidRDefault="00B8755A" w:rsidP="00B8755A">
      <w:pPr>
        <w:rPr>
          <w:b/>
          <w:bCs/>
          <w:u w:val="single"/>
        </w:rPr>
      </w:pPr>
      <w:r w:rsidRPr="00B8755A">
        <w:rPr>
          <w:b/>
          <w:bCs/>
          <w:u w:val="single"/>
        </w:rPr>
        <w:t>Potential</w:t>
      </w:r>
      <w:r w:rsidRPr="00B8755A">
        <w:rPr>
          <w:b/>
          <w:bCs/>
          <w:u w:val="single"/>
        </w:rPr>
        <w:t xml:space="preserve"> Aims:</w:t>
      </w:r>
    </w:p>
    <w:p w14:paraId="234680FC" w14:textId="77777777" w:rsidR="00B8755A" w:rsidRDefault="00B8755A" w:rsidP="00B8755A">
      <w:r w:rsidRPr="00B8755A">
        <w:rPr>
          <w:b/>
          <w:bCs/>
        </w:rPr>
        <w:t>Aim 1. Characterize residential vs. activity-space built-environment exposures across sociodemographic groups and geographies.</w:t>
      </w:r>
      <w:r>
        <w:t xml:space="preserve"> Derive dwell-time-weighted GFM embeddings and ABSRIs from </w:t>
      </w:r>
      <w:proofErr w:type="spellStart"/>
      <w:r>
        <w:t>Veraset</w:t>
      </w:r>
      <w:proofErr w:type="spellEnd"/>
      <w:r>
        <w:t xml:space="preserve"> data and quantify the magnitude and structure of residential–activity-space discordance by urbanicity, income, and race/ethnicity.</w:t>
      </w:r>
    </w:p>
    <w:p w14:paraId="62CEFE10" w14:textId="60F28C89" w:rsidR="00B8755A" w:rsidRDefault="00B8755A" w:rsidP="00B8755A">
      <w:r w:rsidRPr="00B8755A">
        <w:rPr>
          <w:b/>
          <w:bCs/>
        </w:rPr>
        <w:t xml:space="preserve">Aim 2. Test whether activity-space GFM embeddings predict health outcomes (CDC PLACES chronic disease and preventive service measures) beyond residential GFM embeddings and standard social risk </w:t>
      </w:r>
      <w:r w:rsidRPr="00B8755A">
        <w:rPr>
          <w:b/>
          <w:bCs/>
        </w:rPr>
        <w:t>indices</w:t>
      </w:r>
      <w:r>
        <w:t xml:space="preserve"> and</w:t>
      </w:r>
      <w:r>
        <w:t xml:space="preserve"> determine whether outcome domains where activity-space exposures add the most match theorized mechanisms (access/prevention vs. environmental exposure).</w:t>
      </w:r>
    </w:p>
    <w:p w14:paraId="39F5A6B2" w14:textId="77777777" w:rsidR="00B8755A" w:rsidRDefault="00B8755A" w:rsidP="00B8755A">
      <w:r w:rsidRPr="00B8755A">
        <w:rPr>
          <w:b/>
          <w:bCs/>
        </w:rPr>
        <w:t>Aim 3. Examine dwell time near healthcare facilities as a mediating pathway for preventive service utilization.</w:t>
      </w:r>
      <w:r>
        <w:t xml:space="preserve"> For outcomes where built-environment embeddings add </w:t>
      </w:r>
      <w:r>
        <w:lastRenderedPageBreak/>
        <w:t>most predictive value (mammography, colorectal screening, blood pressure medication adherence), test whether observed mobility to clinical settings mediates the residential built-environment association.</w:t>
      </w:r>
    </w:p>
    <w:p w14:paraId="5CDFA40B" w14:textId="479023C3" w:rsidR="00AC5963" w:rsidRDefault="00B8755A" w:rsidP="00B8755A">
      <w:r w:rsidRPr="00B8755A">
        <w:rPr>
          <w:b/>
          <w:bCs/>
        </w:rPr>
        <w:t xml:space="preserve">Aim 4. Assess </w:t>
      </w:r>
      <w:r w:rsidRPr="00B8755A">
        <w:rPr>
          <w:b/>
          <w:bCs/>
        </w:rPr>
        <w:t>differences</w:t>
      </w:r>
      <w:r w:rsidRPr="00B8755A">
        <w:rPr>
          <w:b/>
          <w:bCs/>
        </w:rPr>
        <w:t xml:space="preserve"> in activity-space exposures and mobility restriction across sociodemographic groups</w:t>
      </w:r>
      <w:r>
        <w:t>, identifying populations for whom residential-based exposure indices most systematically mischaracterize environmental risk.</w:t>
      </w:r>
    </w:p>
    <w:p w14:paraId="3EAA361B" w14:textId="1C6E966E" w:rsidR="00FD572F" w:rsidRPr="00FD572F" w:rsidRDefault="00ED79E2" w:rsidP="00ED79E2">
      <w:pPr>
        <w:rPr>
          <w:b/>
          <w:bCs/>
        </w:rPr>
      </w:pPr>
      <w:r w:rsidRPr="00ED79E2">
        <w:rPr>
          <w:b/>
          <w:bCs/>
        </w:rPr>
        <w:t xml:space="preserve">Aim 5. Estimate mode-specific traffic injury risk rates using GPS-derived exposure denominators. </w:t>
      </w:r>
      <w:r w:rsidRPr="00ED79E2">
        <w:t xml:space="preserve">Pairing </w:t>
      </w:r>
      <w:proofErr w:type="spellStart"/>
      <w:r w:rsidRPr="00ED79E2">
        <w:t>Veraset</w:t>
      </w:r>
      <w:proofErr w:type="spellEnd"/>
      <w:r w:rsidRPr="00ED79E2">
        <w:t xml:space="preserve"> </w:t>
      </w:r>
      <w:r>
        <w:t>M</w:t>
      </w:r>
      <w:r w:rsidRPr="00ED79E2">
        <w:t xml:space="preserve">obility </w:t>
      </w:r>
      <w:r>
        <w:t>data</w:t>
      </w:r>
      <w:r w:rsidRPr="00ED79E2">
        <w:t xml:space="preserve"> with state crash registr</w:t>
      </w:r>
      <w:r>
        <w:t>ies</w:t>
      </w:r>
      <w:r w:rsidRPr="00ED79E2">
        <w:t>, we will construct person-miles-traveled denominators stratified by inferred mode (pedestrian, cyclist, driver) at the road-segment level</w:t>
      </w:r>
      <w:r>
        <w:t>, using</w:t>
      </w:r>
      <w:r w:rsidRPr="00ED79E2">
        <w:t xml:space="preserve"> crash counts </w:t>
      </w:r>
      <w:r>
        <w:t>as the numerator and travel flow as the denominator for the calculation of</w:t>
      </w:r>
      <w:r w:rsidRPr="00ED79E2">
        <w:t xml:space="preserve"> injury rate estimates. We will then test whether GFM satellite embeddings of the built environment predict these risk rates, and whether built-environment features associated with elevated risk (e.g., intersection geometry, absence of protected infrastructure) are identifiable as interpretable directions in the embedding space. Findings will inform which physical features of streets most increase vulnerable road user risk, independent of the volume of use.</w:t>
      </w:r>
    </w:p>
    <w:sectPr w:rsidR="00FD572F" w:rsidRPr="00FD5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5A"/>
    <w:rsid w:val="006023C6"/>
    <w:rsid w:val="00A43253"/>
    <w:rsid w:val="00AC5963"/>
    <w:rsid w:val="00B8755A"/>
    <w:rsid w:val="00ED79E2"/>
    <w:rsid w:val="00FD5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E65839"/>
  <w15:chartTrackingRefBased/>
  <w15:docId w15:val="{656EABD3-CFFF-5D45-AABC-2B75241C8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55A"/>
    <w:rPr>
      <w:rFonts w:eastAsiaTheme="majorEastAsia" w:cstheme="majorBidi"/>
      <w:color w:val="272727" w:themeColor="text1" w:themeTint="D8"/>
    </w:rPr>
  </w:style>
  <w:style w:type="paragraph" w:styleId="Title">
    <w:name w:val="Title"/>
    <w:basedOn w:val="Normal"/>
    <w:next w:val="Normal"/>
    <w:link w:val="TitleChar"/>
    <w:uiPriority w:val="10"/>
    <w:qFormat/>
    <w:rsid w:val="00B87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55A"/>
    <w:pPr>
      <w:spacing w:before="160"/>
      <w:jc w:val="center"/>
    </w:pPr>
    <w:rPr>
      <w:i/>
      <w:iCs/>
      <w:color w:val="404040" w:themeColor="text1" w:themeTint="BF"/>
    </w:rPr>
  </w:style>
  <w:style w:type="character" w:customStyle="1" w:styleId="QuoteChar">
    <w:name w:val="Quote Char"/>
    <w:basedOn w:val="DefaultParagraphFont"/>
    <w:link w:val="Quote"/>
    <w:uiPriority w:val="29"/>
    <w:rsid w:val="00B8755A"/>
    <w:rPr>
      <w:i/>
      <w:iCs/>
      <w:color w:val="404040" w:themeColor="text1" w:themeTint="BF"/>
    </w:rPr>
  </w:style>
  <w:style w:type="paragraph" w:styleId="ListParagraph">
    <w:name w:val="List Paragraph"/>
    <w:basedOn w:val="Normal"/>
    <w:uiPriority w:val="34"/>
    <w:qFormat/>
    <w:rsid w:val="00B8755A"/>
    <w:pPr>
      <w:ind w:left="720"/>
      <w:contextualSpacing/>
    </w:pPr>
  </w:style>
  <w:style w:type="character" w:styleId="IntenseEmphasis">
    <w:name w:val="Intense Emphasis"/>
    <w:basedOn w:val="DefaultParagraphFont"/>
    <w:uiPriority w:val="21"/>
    <w:qFormat/>
    <w:rsid w:val="00B8755A"/>
    <w:rPr>
      <w:i/>
      <w:iCs/>
      <w:color w:val="0F4761" w:themeColor="accent1" w:themeShade="BF"/>
    </w:rPr>
  </w:style>
  <w:style w:type="paragraph" w:styleId="IntenseQuote">
    <w:name w:val="Intense Quote"/>
    <w:basedOn w:val="Normal"/>
    <w:next w:val="Normal"/>
    <w:link w:val="IntenseQuoteChar"/>
    <w:uiPriority w:val="30"/>
    <w:qFormat/>
    <w:rsid w:val="00B87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55A"/>
    <w:rPr>
      <w:i/>
      <w:iCs/>
      <w:color w:val="0F4761" w:themeColor="accent1" w:themeShade="BF"/>
    </w:rPr>
  </w:style>
  <w:style w:type="character" w:styleId="IntenseReference">
    <w:name w:val="Intense Reference"/>
    <w:basedOn w:val="DefaultParagraphFont"/>
    <w:uiPriority w:val="32"/>
    <w:qFormat/>
    <w:rsid w:val="00B87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c063a29-87db-4907-9db2-f048ff797aaf}" enabled="1" method="Privileged" siteId="{7dd12bd6-325a-411f-8fed-b8004b6f2a52}" contentBits="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Pages>
  <Words>595</Words>
  <Characters>3405</Characters>
  <Application>Microsoft Office Word</Application>
  <DocSecurity>0</DocSecurity>
  <Lines>113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Hendrix</dc:creator>
  <cp:keywords/>
  <dc:description/>
  <cp:lastModifiedBy>Nathaniel Hendrix</cp:lastModifiedBy>
  <cp:revision>1</cp:revision>
  <dcterms:created xsi:type="dcterms:W3CDTF">2026-05-22T15:32:00Z</dcterms:created>
  <dcterms:modified xsi:type="dcterms:W3CDTF">2026-05-22T16:26:00Z</dcterms:modified>
</cp:coreProperties>
</file>