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3C72"/>
          <w:sz w:val="36"/>
        </w:rPr>
        <w:t>LiDAR-Based Tunnel Time-Series Shape Analysis Technology</w:t>
      </w:r>
    </w:p>
    <w:p>
      <w:pPr>
        <w:jc w:val="center"/>
      </w:pPr>
      <w:r>
        <w:rPr>
          <w:i/>
          <w:color w:val="555555"/>
          <w:sz w:val="21"/>
        </w:rPr>
        <w:t>SSL Smart Tunnel Monitoring System  |  Step 6 — Time-Series Analysis Module</w:t>
      </w:r>
    </w:p>
    <w:p>
      <w:pPr>
        <w:pStyle w:val="Heading1"/>
      </w:pPr>
      <w:r>
        <w:t>1. Technical Overview and Necessity</w:t>
      </w:r>
    </w:p>
    <w:p>
      <w:r>
        <w:t>Railway tunnels are long-lived linear structures in which shape changes — crown settlement, sidewall convergence, sectional eccentricity, and local damage — accumulate over years of operation. Conventional visual, tape, and total-station inspection is operator-dependent and typically captures only a single qualitative snapshot. What is needed is a time-series framework that quantitatively tracks how the tunnel shape evolves and objectively evaluates the location, magnitude, and rate of deformation.</w:t>
      </w:r>
    </w:p>
    <w:p>
      <w:r>
        <w:t>Terrestrial LiDAR acquires dense 3D point clouds of the tunnel interior contact-free and at millimetre precision, even under live-traffic or maintenance conditions, making it an ideal input for digital-twin-based maintenance. The SSL Smart Tunnel Monitoring System is a fully automated Python pipeline that co-registers LiDAR scans from different epochs into a common reference frame, extracts shape change relative to the tunnel centreline and cross-sections, and combines M3C2-based 4D change detection with per-section engineering indices, producing report-ready outputs for digital-twin-based maintenance.</w:t>
      </w:r>
    </w:p>
    <w:p>
      <w:r>
        <w:t>This technology corresponds to the mid-term consulting item “Intelligent Analysis–Simulation Technology 1: LiDAR-Based Tunnel Time-Series Shape Analysis” (DT 중간컨설팅_260707.pptx, slide 39) and is implemented as Step 6 of the tool, taking a T0 reference scan and Tn comparison scans — or a full T0~T5 multi-epoch set — as input.</w:t>
      </w:r>
    </w:p>
    <w:p>
      <w:pPr>
        <w:pStyle w:val="Heading1"/>
      </w:pPr>
      <w:r>
        <w:t>2. Core Research Content</w:t>
      </w:r>
    </w:p>
    <w:p>
      <w:pPr>
        <w:pStyle w:val="Heading2"/>
      </w:pPr>
      <w:r>
        <w:t>2.1 Multi-Point LiDAR Registration</w:t>
      </w:r>
    </w:p>
    <w:p>
      <w:r>
        <w:t>Time-series comparison requires every epoch to share one reference coordinate frame; sensor pose, trajectory, and IMU error otherwise mask real structural change. T0 is fixed as the reference epoch and all other epochs are aligned to it.</w:t>
      </w:r>
    </w:p>
    <w:p>
      <w:pPr>
        <w:pStyle w:val="ListBullet"/>
      </w:pPr>
      <w:r>
        <w:rPr>
          <w:b/>
        </w:rPr>
        <w:t xml:space="preserve">Coarse alignment: </w:t>
      </w:r>
      <w:r>
        <w:t>feature/target-based initial transform (GROR + FPFH)</w:t>
      </w:r>
    </w:p>
    <w:p>
      <w:pPr>
        <w:pStyle w:val="ListBullet"/>
      </w:pPr>
      <w:r>
        <w:rPr>
          <w:b/>
        </w:rPr>
        <w:t xml:space="preserve">Fine registration: </w:t>
      </w:r>
      <w:r>
        <w:t>Generalized ICP (small_gicp), Open3D point-to-plane ICP as fallback</w:t>
      </w:r>
    </w:p>
    <w:p>
      <w:pPr>
        <w:pStyle w:val="ListBullet"/>
      </w:pPr>
      <w:r>
        <w:rPr>
          <w:b/>
        </w:rPr>
        <w:t xml:space="preserve">Benchmark: </w:t>
      </w:r>
      <w:r>
        <w:t>0.196 mm RMSE, 339 ms (separate registration benchmark) — faster and more stable than Open3D ICP</w:t>
      </w:r>
    </w:p>
    <w:p>
      <w:pPr>
        <w:pStyle w:val="ListBullet"/>
      </w:pPr>
      <w:r>
        <w:rPr>
          <w:b/>
        </w:rPr>
        <w:t xml:space="preserve">Quality gate: </w:t>
      </w:r>
      <w:r>
        <w:t>registration RMSE and residuals checked; high RMSE flags results as low-confidence</w:t>
      </w:r>
    </w:p>
    <w:p>
      <w:pPr>
        <w:pStyle w:val="Heading2"/>
      </w:pPr>
      <w:r>
        <w:t>2.2 Geometric Modeling and Shape Indices</w:t>
      </w:r>
    </w:p>
    <w:p>
      <w:r>
        <w:t>The tunnel centreline is estimated and Frenet-frame cross-sections orthogonal to it are generated per chainage, which reduces apparent-ovality error on curved tunnels. Each section is compared with the design radius or the T0 reference section.</w:t>
      </w:r>
    </w:p>
    <w:p>
      <w:pPr>
        <w:pStyle w:val="ListBullet"/>
      </w:pPr>
      <w:r>
        <w:rPr>
          <w:b/>
        </w:rPr>
        <w:t xml:space="preserve">Shape indices: </w:t>
      </w:r>
      <w:r>
        <w:t>crown settlement, lateral convergence, ovality, eccentricity, local damage</w:t>
      </w:r>
    </w:p>
    <w:p>
      <w:pPr>
        <w:pStyle w:val="ListBullet"/>
      </w:pPr>
      <w:r>
        <w:rPr>
          <w:b/>
        </w:rPr>
        <w:t xml:space="preserve">Section fitting: </w:t>
      </w:r>
      <w:r>
        <w:t>Fitzgibbon Direct Least-Squares ellipse fitting for precise section geometry</w:t>
      </w:r>
    </w:p>
    <w:p>
      <w:pPr>
        <w:pStyle w:val="ListBullet"/>
      </w:pPr>
      <w:r>
        <w:rPr>
          <w:b/>
        </w:rPr>
        <w:t xml:space="preserve">Output: </w:t>
      </w:r>
      <w:r>
        <w:t>per-section tables and graphs; over-threshold zones highlighted in the 3D heatmap / 2D overlay</w:t>
      </w:r>
    </w:p>
    <w:p>
      <w:pPr>
        <w:pStyle w:val="Heading2"/>
      </w:pPr>
      <w:r>
        <w:t>2.3 M3C2-Based 4D Change Detection and Trend Analysis</w:t>
      </w:r>
    </w:p>
    <w:p>
      <w:r>
        <w:t>Using py4dgeo, T0 core points and local normals are fixed and the signed distance to each epoch is computed along the surface normal. A Level-of-Detection (LoD) criterion separates statistically significant deformation from noise, and results are aggregated by chainage, section angle, and epoch to form trends and a forecast.</w:t>
      </w:r>
    </w:p>
    <w:p>
      <w:pPr>
        <w:pStyle w:val="ListBullet"/>
      </w:pPr>
      <w:r>
        <w:rPr>
          <w:b/>
        </w:rPr>
        <w:t xml:space="preserve">Validation dataset: </w:t>
      </w:r>
      <w:r>
        <w:t>80 m length, 3.0 m radius, 6 epochs (T0~T5), 15,456 points/epoch</w:t>
      </w:r>
    </w:p>
    <w:p>
      <w:pPr>
        <w:pStyle w:val="ListBullet"/>
      </w:pPr>
      <w:r>
        <w:rPr>
          <w:b/>
        </w:rPr>
        <w:t xml:space="preserve">Ground truth @ T5: </w:t>
      </w:r>
      <w:r>
        <w:t>crown -45 mm @20 m, convergence -35 mm @45 m, local damage -40 mm @65 m (from T3)</w:t>
      </w:r>
    </w:p>
    <w:p>
      <w:pPr>
        <w:pStyle w:val="ListBullet"/>
      </w:pPr>
      <w:r>
        <w:rPr>
          <w:b/>
        </w:rPr>
        <w:t xml:space="preserve">Measured @ T5: </w:t>
      </w:r>
      <w:r>
        <w:t>crown max 44.05 mm, heatmap max 45.0 mm, ovality 0.20 %, eccentricity 1.52 mm</w:t>
      </w:r>
    </w:p>
    <w:p>
      <w:pPr>
        <w:pStyle w:val="ListBullet"/>
      </w:pPr>
      <w:r>
        <w:rPr>
          <w:b/>
        </w:rPr>
        <w:t xml:space="preserve">Forecast: </w:t>
      </w:r>
      <w:r>
        <w:t>linear-trend R² ≈ 0.9997; caution at ~9 epochs, critical at ~15 epochs</w:t>
      </w:r>
    </w:p>
    <w:p>
      <w:pPr>
        <w:pStyle w:val="Heading1"/>
      </w:pPr>
      <w:r>
        <w:t>3. Demo Video Walkthrough</w:t>
      </w:r>
    </w:p>
    <w:p>
      <w:r>
        <w:t>The demo is a real screen recording of the SSL tool running the one-click Auto Pipeline on the validated T0~T5 dataset (file: docs/LiDAR_Tunnel_RealDemo_Annotated.mp4, ~1 minute, with on-screen step captions). Its purpose is to show how raw LiDAR point clouds become maintenance decision information, not to explain the algorithms. After the six epochs are loaded, a single “Auto Pipeline (1-click full analysis)” action runs the entire Step 1–Step 6 chain, and the following panels appear in sequence: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Time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On-screen panel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What it demonstrates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0:03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 Pipeline + Structure tree (S1–S6)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Six epochs T0~T5 loaded; one click runs preprocess → register → sections → M3C2.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0:15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2D Cross-Section (circle fit)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Per-chainage section with crown/wall/floor deviation, ovality and eccentricity.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0:28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Multi-Epoch Deformation Trend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p95/median per epoch with Safe/Caution/Critical bands and a per-epoch status table.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0:36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M3C2 Deformation Map (T0→Tn)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Signed surface change with LoD; mm colorbar; results log of all extracted parameters.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0:45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Plot 2D Technical Section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Engineering section vs vehicle clearance; exportable to PDF / IFC.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0:56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Summary 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 zones, max deformation, trend forecast, and digital-twin handoff.</w:t>
            </w:r>
          </w:p>
        </w:tc>
      </w:tr>
    </w:tbl>
    <w:p/>
    <w:p>
      <w:pPr>
        <w:pStyle w:val="Heading1"/>
      </w:pPr>
      <w:r>
        <w:t>4. Research Outcomes and Future Improvements</w:t>
      </w:r>
    </w:p>
    <w:p>
      <w:r>
        <w:rPr>
          <w:b/>
        </w:rPr>
        <w:t>Outcomes</w:t>
      </w:r>
    </w:p>
    <w:p>
      <w:pPr>
        <w:pStyle w:val="ListBullet"/>
      </w:pPr>
      <w:r>
        <w:t>End-to-end automated pipeline reducing a manual multi-step workflow to a one-click run.</w:t>
      </w:r>
    </w:p>
    <w:p>
      <w:pPr>
        <w:pStyle w:val="ListBullet"/>
      </w:pPr>
      <w:r>
        <w:t>Centreline + Frenet sectioning with five engineering shape indices per section.</w:t>
      </w:r>
    </w:p>
    <w:p>
      <w:pPr>
        <w:pStyle w:val="ListBullet"/>
      </w:pPr>
      <w:r>
        <w:t>Benchmark-validated M3C2 tracking on T0~T5 (crown max 44.05 mm vs -45 mm ground truth; forecast R² ≈ 0.9997).</w:t>
      </w:r>
    </w:p>
    <w:p>
      <w:pPr>
        <w:pStyle w:val="ListBullet"/>
      </w:pPr>
      <w:r>
        <w:t>Full IFC4X3 export for BIM interoperability with digital-twin platforms.</w:t>
      </w:r>
    </w:p>
    <w:p>
      <w:pPr>
        <w:pStyle w:val="ListBullet"/>
      </w:pPr>
      <w:r>
        <w:t>Integrated RAG-LLM / AI Engineering Assistant for decision support.</w:t>
      </w:r>
    </w:p>
    <w:p>
      <w:r>
        <w:rPr>
          <w:b/>
        </w:rPr>
        <w:t>Future Improvements</w:t>
      </w:r>
    </w:p>
    <w:p>
      <w:pPr>
        <w:pStyle w:val="ListBullet"/>
      </w:pPr>
      <w:r>
        <w:t>Robust validation on real field LiDAR (sensor drift, occlusion, reflectivity, cable/equipment clutter).</w:t>
      </w:r>
    </w:p>
    <w:p>
      <w:pPr>
        <w:pStyle w:val="ListBullet"/>
      </w:pPr>
      <w:r>
        <w:t>Multi-epoch UI workflow selecting T0~T5 at once with epoch-labelled graphs.</w:t>
      </w:r>
    </w:p>
    <w:p>
      <w:pPr>
        <w:pStyle w:val="ListBullet"/>
      </w:pPr>
      <w:r>
        <w:t>Separate cumulative (T0→Tn) and incremental (Tn→Tn+1) deformation in the report.</w:t>
      </w:r>
    </w:p>
    <w:p>
      <w:pPr>
        <w:pStyle w:val="ListBullet"/>
      </w:pPr>
      <w:r>
        <w:t>Link LoD significance to structural safety thresholds for clear caution/critical limits.</w:t>
      </w:r>
    </w:p>
    <w:p>
      <w:pPr>
        <w:pStyle w:val="ListBullet"/>
      </w:pPr>
      <w:r>
        <w:t>Non-circular profiles (horseshoe), fracture detection, and water-seepage mapping.</w:t>
      </w:r>
    </w:p>
    <w:p>
      <w:r>
        <w:t>With these enhancements, this technology can become a core intelligent analysis–simulation module for railway-tunnel digital twins.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C7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C7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3C7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