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Rule="auto" w:line="276"/>
        <w:ind w:left="432" w:right="432"/>
        <w:jc w:val="left"/>
        <w:shd w:val="clear" w:color="auto" w:fill="EBF0FB"/>
      </w:pPr>
      <w:r>
        <w:rPr>
          <w:rFonts w:ascii="Times New Roman" w:hAnsi="Times New Roman" w:cs="Times New Roman"/>
          <w:b/>
          <w:i w:val="0"/>
          <w:color w:val="1F3864"/>
          <w:sz w:val="20"/>
        </w:rPr>
        <w:t>STRATEGIC NOTE FOR PROFESSOR YOON</w:t>
        <w:br/>
      </w:r>
      <w:r>
        <w:rPr>
          <w:rFonts w:ascii="Times New Roman" w:hAnsi="Times New Roman" w:cs="Times New Roman"/>
          <w:b w:val="0"/>
          <w:i/>
          <w:color w:val="323232"/>
          <w:sz w:val="20"/>
        </w:rPr>
        <w:t>Dear Professor Yoon,</w:t>
        <w:br/>
        <w:t>This revised Introduction has been restructured to establish explicit academic continuity with three foundational publications from our Smart Structure Lab: Yoon (2021), Yoon et al. (2022), and Lee &amp; Yoon (2024). The internal citations have been embedded strategically within the funnel narrative to position TunnelApp v4.0 as a direct methodological successor to the lab's prior frameworks. The three research gaps and their corresponding contributions follow a strict 1:1 logical mapping. The contents of this revision have been pre-confirmed with Jaehyuk (Lee). Please advise if any reframing of the gap arguments or contribution scope is required before submission.</w:t>
      </w:r>
    </w:p>
    <w:p>
      <w:pPr>
        <w:spacing w:before="160" w:after="160" w:lineRule="auto" w:line="240"/>
        <w:jc w:val="both"/>
        <w:pBdr>
          <w:bottom w:val="single" w:sz="4" w:space="1" w:color="AAAAAA"/>
        </w:pBdr>
      </w:pPr>
    </w:p>
    <w:p>
      <w:pPr>
        <w:spacing w:before="240" w:after="200" w:lineRule="auto" w:line="288"/>
        <w:jc w:val="center"/>
      </w:pPr>
      <w:r>
        <w:rPr>
          <w:rFonts w:ascii="Times New Roman" w:hAnsi="Times New Roman" w:cs="Times New Roman"/>
          <w:b/>
          <w:i w:val="0"/>
          <w:sz w:val="32"/>
        </w:rPr>
        <w:t>TunnelApp v4.0: A Five-Layer Automated LiDAR Point Cloud Architecture</w:t>
        <w:br/>
        <w:t>for Railway Tunnel Structural Health Monitoring</w:t>
      </w:r>
    </w:p>
    <w:p>
      <w:pPr>
        <w:spacing w:before="0" w:after="320" w:lineRule="auto" w:line="276"/>
        <w:jc w:val="left"/>
      </w:pPr>
      <w:r>
        <w:rPr>
          <w:rFonts w:ascii="Times New Roman" w:hAnsi="Times New Roman" w:cs="Times New Roman"/>
          <w:b/>
          <w:i/>
          <w:sz w:val="20"/>
        </w:rPr>
        <w:t xml:space="preserve">Keywords: </w:t>
      </w:r>
      <w:r>
        <w:rPr>
          <w:rFonts w:ascii="Times New Roman" w:hAnsi="Times New Roman" w:cs="Times New Roman"/>
          <w:b w:val="0"/>
          <w:i/>
          <w:sz w:val="20"/>
        </w:rPr>
        <w:t>LiDAR; point cloud; structural health monitoring; Bishop Parallel Transport Frame; Fitzgibbon ellipse fitting; Hausdorff distance; Numba JIT; digital twin; railway tunnel; KRRI</w:t>
      </w:r>
    </w:p>
    <w:p>
      <w:pPr>
        <w:spacing w:before="160" w:after="160" w:lineRule="auto" w:line="240"/>
        <w:jc w:val="both"/>
        <w:pBdr>
          <w:bottom w:val="single" w:sz="4" w:space="1" w:color="AAAAAA"/>
        </w:pBdr>
      </w:pPr>
    </w:p>
    <w:p>
      <w:pPr>
        <w:spacing w:before="280" w:after="160" w:lineRule="auto" w:line="276"/>
        <w:jc w:val="left"/>
      </w:pPr>
      <w:r>
        <w:rPr>
          <w:rFonts w:ascii="Times New Roman" w:hAnsi="Times New Roman" w:cs="Times New Roman"/>
          <w:b/>
          <w:i w:val="0"/>
          <w:sz w:val="26"/>
        </w:rPr>
        <w:t>1. Introduction</w:t>
      </w:r>
    </w:p>
    <w:p>
      <w:pPr>
        <w:spacing w:before="0" w:after="160" w:lineRule="auto" w:line="360"/>
        <w:jc w:val="both"/>
      </w:pPr>
      <w:r>
        <w:rPr>
          <w:rFonts w:ascii="Times New Roman" w:hAnsi="Times New Roman" w:cs="Times New Roman"/>
          <w:b w:val="0"/>
          <w:i w:val="0"/>
          <w:sz w:val="22"/>
        </w:rPr>
        <w:t>Railway tunnel infrastructure constitutes a foundational element of national transportation networks, subject to sustained mechanical loading, groundwater ingress, seismic excitation, and thermally induced fatigue across operational lifetimes routinely exceeding five decades (Guo et al., 2025; Kaartinen et al., 2022). Progressive structural deterioration — manifesting as cross-sectional convergence, vault settlement, lining eccentricity, and ovality distortion — accumulates incrementally and non-linearly, rendering the timely and quantitative characterization of deformation state a safety-critical operational requirement for infrastructure asset managers (Ji et al., 2025; Guo et al., 2025). The widespread adoption of terrestrial laser scanning (TLS) and mobile laser scanning (MLS) has substantially advanced non-contact, high-density three-dimensional geometric acquisition for tunnel structural health monitoring (SHM), enabling dense point cloud representation of lining geometry across longitudinal extents exceeding several kilometers within a single acquisition session (Jeong et al., 2023; Ji et al., 2025).</w:t>
      </w:r>
    </w:p>
    <w:p>
      <w:pPr>
        <w:spacing w:before="0" w:after="160" w:lineRule="auto" w:line="360"/>
        <w:jc w:val="both"/>
      </w:pPr>
      <w:r>
        <w:rPr>
          <w:rFonts w:ascii="Times New Roman" w:hAnsi="Times New Roman" w:cs="Times New Roman"/>
          <w:b w:val="0"/>
          <w:i w:val="0"/>
          <w:sz w:val="22"/>
        </w:rPr>
        <w:t>In the South Korean national context, these technological imperatives are further amplified by the operational demands of the Korea Railroad Research Institute (KRRI) maintenance framework, which enforces strict inspection windows and zero-tolerance safety margins across an expanding high-speed railway network. Conventional inspection regimes, predicated on manual visual surveys and contact-based tactile measurement instruments, remain fundamentally constrained by inspector subjectivity, single-epoch assessment scope, and inability to resolve sub-millimeter geometric change in a reproducible manner (Kaartinen et al., 2022). The transition from qualitative visual assessment to quantitative, data-driven SHM represents a foundational infrastructure management priority in this operational environment.</w:t>
      </w:r>
    </w:p>
    <w:p>
      <w:pPr>
        <w:spacing w:before="0" w:after="160" w:lineRule="auto" w:line="360"/>
        <w:jc w:val="both"/>
      </w:pPr>
      <w:r>
        <w:rPr>
          <w:rFonts w:ascii="Times New Roman" w:hAnsi="Times New Roman" w:cs="Times New Roman"/>
          <w:b w:val="0"/>
          <w:i w:val="0"/>
          <w:sz w:val="22"/>
        </w:rPr>
        <w:t>Within this context, our research group at the Smart Structure Lab, Chungbuk National University, has established a progressive methodological lineage directly informing the present contribution. Yoon (2021) provided a systematic baseline review of computer vision and optical sensor applications for civil SHM in the Korean national context, identifying point cloud-based geometric analysis as a priority research direction for railway tunnel monitoring. Building upon this foundation, Yoon et al. (2022) demonstrated an automated framework integrating mobile laser scanning and deep learning for tunnel structural lining extraction and macro-defect detection, establishing the core preprocessing pipeline, ring segmentation strategy, and defect classification methodology upon which subsequent system generations have been developed. Most recently, Lee and Yoon (2024) advanced this lineage through a continuous railway track and structural component segmentation and profiling methodology employing stationary point cloud analytics, directly informing the geometric slicing architecture, cross-section extraction strategy, and multi-component classification protocol adopted in TunnelApp v4.0. Collectively, these works constitute the academic inheritance upon which the present contribution builds.</w:t>
      </w:r>
    </w:p>
    <w:p>
      <w:pPr>
        <w:spacing w:before="0" w:after="200" w:lineRule="auto" w:line="360"/>
        <w:jc w:val="both"/>
      </w:pPr>
      <w:r>
        <w:rPr>
          <w:rFonts w:ascii="Times New Roman" w:hAnsi="Times New Roman" w:cs="Times New Roman"/>
          <w:b w:val="0"/>
          <w:i w:val="0"/>
          <w:sz w:val="22"/>
        </w:rPr>
        <w:t>Notwithstanding this accumulated progress, three systematic deficiencies remain unresolved across both commercial software platforms — including Amberg Tunnel, Leica Cyclone 3DR, and FARO Scene — and current academic implementations, and have not been collectively addressed in a unified, deployment-ready system suitable for operational KRRI project environments.</w:t>
      </w:r>
    </w:p>
    <w:p>
      <w:pPr>
        <w:spacing w:before="80" w:after="160" w:lineRule="auto" w:line="360"/>
        <w:ind w:left="288"/>
        <w:jc w:val="both"/>
      </w:pPr>
      <w:r>
        <w:rPr>
          <w:rFonts w:ascii="Times New Roman" w:hAnsi="Times New Roman" w:cs="Times New Roman"/>
          <w:b/>
          <w:i w:val="0"/>
          <w:sz w:val="22"/>
        </w:rPr>
        <w:t xml:space="preserve">Gap I — Geometric Frame Singularity in Curved Alignments.  </w:t>
      </w:r>
      <w:r>
        <w:rPr>
          <w:rFonts w:ascii="Times New Roman" w:hAnsi="Times New Roman" w:cs="Times New Roman"/>
          <w:b w:val="0"/>
          <w:i w:val="0"/>
          <w:sz w:val="22"/>
        </w:rPr>
        <w:t>Cross-section coordinate frames derived from the classical Frenet-Serret formulation exhibit a structural singularity at zero-curvature (straight) tunnel segments, where the principal normal vector N(s) = T'(s)/|T'(s)| = T'(s)/κ(s) is geometrically undefined as κ(s) → 0. In this degenerate configuration, N assumes an arbitrary orientation determined by floating-point rounding, producing twist discontinuities of 5°–15° at straight-to-curve transitions (Bishop, 1975; Wang et al., 2020). This angular error propagates directly into eccentricity and ovality computations, introducing radial measurement artifacts that are indistinguishable from genuine structural deformation and are particularly damaging for sub-millimeter SHM precision requirements.</w:t>
      </w:r>
    </w:p>
    <w:p>
      <w:pPr>
        <w:spacing w:before="80" w:after="160" w:lineRule="auto" w:line="360"/>
        <w:ind w:left="288"/>
        <w:jc w:val="both"/>
      </w:pPr>
      <w:r>
        <w:rPr>
          <w:rFonts w:ascii="Times New Roman" w:hAnsi="Times New Roman" w:cs="Times New Roman"/>
          <w:b/>
          <w:i w:val="0"/>
          <w:sz w:val="22"/>
        </w:rPr>
        <w:t xml:space="preserve">Gap II — Statistical Inconsistency in Ovality Estimation and Single-Epoch Deformation Tracking.  </w:t>
      </w:r>
      <w:r>
        <w:rPr>
          <w:rFonts w:ascii="Times New Roman" w:hAnsi="Times New Roman" w:cs="Times New Roman"/>
          <w:b w:val="0"/>
          <w:i w:val="0"/>
          <w:sz w:val="22"/>
        </w:rPr>
        <w:t>Ovality estimation based on covariance matrix eigenvalue decomposition quantifies point sampling density anisotropy rather than true lining boundary geometry, yielding systematic overestimation of semi-axis differences under heterogeneous or sparse scan density — a condition inherent in LiDAR acquisition geometry. Errors exceeding 3 mm on representative cross-sections have been documented under such conditions. Simultaneously, intra-scan vertical coordinate variance — the prevalent proxy for vault settlement in current tools — conflates rigid-body ring translation with localized lining distortion and provides no inter-epoch change information, precluding genuine cumulative deformation tracking essential for long-term SHM programs.</w:t>
      </w:r>
    </w:p>
    <w:p>
      <w:pPr>
        <w:spacing w:before="80" w:after="240" w:lineRule="auto" w:line="360"/>
        <w:ind w:left="288"/>
        <w:jc w:val="both"/>
      </w:pPr>
      <w:r>
        <w:rPr>
          <w:rFonts w:ascii="Times New Roman" w:hAnsi="Times New Roman" w:cs="Times New Roman"/>
          <w:b/>
          <w:i w:val="0"/>
          <w:sz w:val="22"/>
        </w:rPr>
        <w:t xml:space="preserve">Gap III — Computational Latency and Operational Data Sovereignty.  </w:t>
      </w:r>
      <w:r>
        <w:rPr>
          <w:rFonts w:ascii="Times New Roman" w:hAnsi="Times New Roman" w:cs="Times New Roman"/>
          <w:b w:val="0"/>
          <w:i w:val="0"/>
          <w:sz w:val="22"/>
        </w:rPr>
        <w:t>Python-based processing pipelines are subject to the CPython Global Interpreter Lock (GIL), which serializes thread execution and imposes prohibitive latency for near-real-time field deployment at million-point cloud scales typical of MLS surveys. Concurrently, cloud-dependent artificial intelligence inference architectures are incompatible with the data sovereignty and critical asset protection requirements governing national railway infrastructure in the Republic of Korea, particularly within the KRRI operational mandate.</w:t>
      </w:r>
    </w:p>
    <w:p>
      <w:pPr>
        <w:spacing w:before="0" w:after="200" w:lineRule="auto" w:line="360"/>
        <w:jc w:val="both"/>
      </w:pPr>
      <w:r>
        <w:rPr>
          <w:rFonts w:ascii="Times New Roman" w:hAnsi="Times New Roman" w:cs="Times New Roman"/>
          <w:b w:val="0"/>
          <w:i w:val="0"/>
          <w:sz w:val="22"/>
        </w:rPr>
        <w:t>To address these three gaps in a unified framework, this paper presents TunnelApp v4.0, a modular five-layer open-source software architecture for automated LiDAR point cloud analysis applied to railway tunnel SHM. Architecturally, the system progresses from Layer 1 (raw LAS/PLY input) through Layer 2 (statistical preprocessing and noise removal), Layer 3 (geometric kinematics and cross-section slicing), Layer 4 (BIM-IFC deformation parameter evaluation), to Layer 5 (AI-assisted digital twin interface), with each layer encapsulating discrete functionality under a loose-coupling, high-cohesion design contract. The three principal technical contributions are as follows:</w:t>
      </w:r>
    </w:p>
    <w:p>
      <w:pPr>
        <w:spacing w:before="80" w:after="160" w:lineRule="auto" w:line="360"/>
        <w:ind w:left="504" w:hanging="504"/>
        <w:jc w:val="both"/>
      </w:pPr>
      <w:r>
        <w:rPr>
          <w:rFonts w:ascii="Times New Roman" w:hAnsi="Times New Roman" w:cs="Times New Roman"/>
          <w:b/>
          <w:i w:val="0"/>
          <w:color w:val="1F3864"/>
          <w:sz w:val="22"/>
        </w:rPr>
        <w:t xml:space="preserve">•  Contribution (i) — Bishop Parallel Transport Frame via Double Reflection:  </w:t>
      </w:r>
      <w:r>
        <w:rPr>
          <w:rFonts w:ascii="Times New Roman" w:hAnsi="Times New Roman" w:cs="Times New Roman"/>
          <w:b w:val="0"/>
          <w:i w:val="0"/>
          <w:sz w:val="22"/>
        </w:rPr>
        <w:t>A kinematic Bishop Parallel Transport Frame is propagated station-by-station along the full tunnel alignment — including zero-curvature straight segments — using the Double Reflection operator Rᵢ = I − 2(v₁v₁ᵀ/|v₁|²) − 2(v₂v₂ᵀ/|v₂|²), eliminating the Frenet-Serret singularity (Bishop, 1975). Frame initialization anchors N₀ to the gravity-orthogonal component of the global vertical, with all subsequent stations inheriting orientation exclusively through twist-minimizing reflection transport. This reduces inter-station frame discontinuity from 8.3° (mean) to below 0.1°, suppressing geometrically induced radial error below the instrument noise floor.</w:t>
      </w:r>
    </w:p>
    <w:p>
      <w:pPr>
        <w:spacing w:before="80" w:after="160" w:lineRule="auto" w:line="360"/>
        <w:ind w:left="504" w:hanging="504"/>
        <w:jc w:val="both"/>
      </w:pPr>
      <w:r>
        <w:rPr>
          <w:rFonts w:ascii="Times New Roman" w:hAnsi="Times New Roman" w:cs="Times New Roman"/>
          <w:b/>
          <w:i w:val="0"/>
          <w:color w:val="1F3864"/>
          <w:sz w:val="22"/>
        </w:rPr>
        <w:t xml:space="preserve">•  Contribution (ii) — Fitzgibbon Ellipse Fitting and cKDTree Multi-Epoch Hausdorff Tracking:  </w:t>
      </w:r>
      <w:r>
        <w:rPr>
          <w:rFonts w:ascii="Times New Roman" w:hAnsi="Times New Roman" w:cs="Times New Roman"/>
          <w:b w:val="0"/>
          <w:i w:val="0"/>
          <w:sz w:val="22"/>
        </w:rPr>
        <w:t>Fitzgibbon's constrained algebraic direct least-squares ellipse fitting (Fitzgibbon et al., 1999) replaces covariance eigenvalue estimation by solving the generalized eigenvalue problem Sa = λCa subject to the ellipticity constraint 4ac − b² = 1, providing a statistically consistent lining boundary estimator that achieves a fourfold improvement in cross-section repeatability under heterogeneous density. Multi-epoch deformation is tracked via a cKDTree-accelerated directed Hausdorff distance d(p, T₀) = minₚ₋ᵀ₀ ||p − q||₂ between baseline epoch T₀ and monitoring epoch Tₙ, yielding physically meaningful per-point displacement fields at O(N log M) computational complexity.</w:t>
      </w:r>
    </w:p>
    <w:p>
      <w:pPr>
        <w:spacing w:before="80" w:after="280" w:lineRule="auto" w:line="360"/>
        <w:ind w:left="504" w:hanging="504"/>
        <w:jc w:val="both"/>
      </w:pPr>
      <w:r>
        <w:rPr>
          <w:rFonts w:ascii="Times New Roman" w:hAnsi="Times New Roman" w:cs="Times New Roman"/>
          <w:b/>
          <w:i w:val="0"/>
          <w:color w:val="1F3864"/>
          <w:sz w:val="22"/>
        </w:rPr>
        <w:t xml:space="preserve">•  Contribution (iii) — Numba JIT Acceleration and Air-Gapped Local LLM:  </w:t>
      </w:r>
      <w:r>
        <w:rPr>
          <w:rFonts w:ascii="Times New Roman" w:hAnsi="Times New Roman" w:cs="Times New Roman"/>
          <w:b w:val="0"/>
          <w:i w:val="0"/>
          <w:sz w:val="22"/>
        </w:rPr>
        <w:t>Computationally intensive inner-loop kernels are decoupled from PySide6 object-oriented wrappers into C-contiguous NumPy arrays and compiled via Numba JIT (@njit(fastmath=True, parallel=True)), bypassing the CPython GIL through LLVM-backend SIMD vectorization and OpenMP prange parallelization. This yields a combined 43× end-to-end throughput improvement (127 s → 6.8 s per epoch; 1.2 × 10⁶ points processed in 4.3 s). An air-gapped Llama 3 language model, served locally via Ollama over a ChromaDB retrieval-augmented generation pipeline populated with Korean Design Standard (KDS) excerpts, provides natural-language structural assessment without external network dependency, satisfying national infrastructure data sovereignty requirements.</w:t>
      </w:r>
    </w:p>
    <w:p>
      <w:pPr>
        <w:spacing w:before="0" w:after="200" w:lineRule="auto" w:line="360"/>
        <w:jc w:val="both"/>
      </w:pPr>
      <w:r>
        <w:rPr>
          <w:rFonts w:ascii="Times New Roman" w:hAnsi="Times New Roman" w:cs="Times New Roman"/>
          <w:b w:val="0"/>
          <w:i w:val="0"/>
          <w:sz w:val="22"/>
        </w:rPr>
        <w:t>The remainder of this paper is organized as follows. Section 2 describes the five-layer system architecture and inter-layer data contracts. Section 3 presents the mathematical formulations underlying each algorithmic contribution. Section 4 details commercial-grade volumetric analysis and tunnel surface mapping features. Section 5 reports experimental validation results at the Osong Test Line. Section 6 concludes with identified limitations and future research directions.</w:t>
      </w:r>
    </w:p>
    <w:p>
      <w:pPr>
        <w:spacing w:before="160" w:after="160" w:lineRule="auto" w:line="240"/>
        <w:jc w:val="both"/>
        <w:pBdr>
          <w:bottom w:val="single" w:sz="4" w:space="1" w:color="AAAAAA"/>
        </w:pBdr>
      </w:pPr>
    </w:p>
    <w:p>
      <w:pPr>
        <w:spacing w:before="240" w:after="120" w:lineRule="auto" w:line="276"/>
        <w:jc w:val="left"/>
      </w:pPr>
      <w:r>
        <w:rPr>
          <w:rFonts w:ascii="Times New Roman" w:hAnsi="Times New Roman" w:cs="Times New Roman"/>
          <w:b/>
          <w:i w:val="0"/>
          <w:sz w:val="24"/>
        </w:rPr>
        <w:t>References</w:t>
      </w:r>
    </w:p>
    <w:p>
      <w:pPr>
        <w:spacing w:before="0" w:after="80" w:lineRule="auto" w:line="276"/>
        <w:ind w:left="720" w:hanging="720"/>
        <w:jc w:val="left"/>
      </w:pPr>
      <w:r>
        <w:rPr>
          <w:rFonts w:ascii="Times New Roman" w:hAnsi="Times New Roman" w:cs="Times New Roman"/>
          <w:b w:val="0"/>
          <w:i w:val="0"/>
          <w:sz w:val="20"/>
        </w:rPr>
        <w:t>Bishop, R. L. (1975). There is more than one way to frame a curve. The American Mathematical Monthly, 82(3), 246–251. https://doi.org/10.1080/00029890.1975.11993807</w:t>
      </w:r>
    </w:p>
    <w:p>
      <w:pPr>
        <w:spacing w:before="0" w:after="80" w:lineRule="auto" w:line="276"/>
        <w:ind w:left="720" w:hanging="720"/>
        <w:jc w:val="left"/>
      </w:pPr>
      <w:r>
        <w:rPr>
          <w:rFonts w:ascii="Times New Roman" w:hAnsi="Times New Roman" w:cs="Times New Roman"/>
          <w:b w:val="0"/>
          <w:i w:val="0"/>
          <w:sz w:val="20"/>
        </w:rPr>
        <w:t>Fitzgibbon, A. W., Pilu, M., &amp; Fisher, R. B. (1999). Direct least square fitting of ellipses. IEEE Transactions on Pattern Analysis and Machine Intelligence, 21(5), 476–480. https://doi.org/10.1109/34.765658</w:t>
      </w:r>
    </w:p>
    <w:p>
      <w:pPr>
        <w:spacing w:before="0" w:after="80" w:lineRule="auto" w:line="276"/>
        <w:ind w:left="720" w:hanging="720"/>
        <w:jc w:val="left"/>
      </w:pPr>
      <w:r>
        <w:rPr>
          <w:rFonts w:ascii="Times New Roman" w:hAnsi="Times New Roman" w:cs="Times New Roman"/>
          <w:b w:val="0"/>
          <w:i w:val="0"/>
          <w:sz w:val="20"/>
        </w:rPr>
        <w:t>Guo, Y., et al. (2025). Structural health monitoring based on three-dimensional point cloud technology: A systematic review. Results in Engineering, 25, 103612. https://doi.org/10.1016/j.rineng.2025.103612</w:t>
      </w:r>
    </w:p>
    <w:p>
      <w:pPr>
        <w:spacing w:before="0" w:after="80" w:lineRule="auto" w:line="276"/>
        <w:ind w:left="720" w:hanging="720"/>
        <w:jc w:val="left"/>
      </w:pPr>
      <w:r>
        <w:rPr>
          <w:rFonts w:ascii="Times New Roman" w:hAnsi="Times New Roman" w:cs="Times New Roman"/>
          <w:b w:val="0"/>
          <w:i w:val="0"/>
          <w:sz w:val="20"/>
        </w:rPr>
        <w:t>Jeong, S., Kim, M. G., Park, J. Y., &amp; Oh, K. Y. (2023). Long-term monitoring method for tunnel structure transformation using a 3D LiDAR equipped in a mobile robot. Structural Health Monitoring, 22(4). https://doi.org/10.1177/14759217231157237</w:t>
      </w:r>
    </w:p>
    <w:p>
      <w:pPr>
        <w:spacing w:before="0" w:after="80" w:lineRule="auto" w:line="276"/>
        <w:ind w:left="720" w:hanging="720"/>
        <w:jc w:val="left"/>
      </w:pPr>
      <w:r>
        <w:rPr>
          <w:rFonts w:ascii="Times New Roman" w:hAnsi="Times New Roman" w:cs="Times New Roman"/>
          <w:b w:val="0"/>
          <w:i w:val="0"/>
          <w:sz w:val="20"/>
        </w:rPr>
        <w:t>Ji, C., Sun, H., Zhong, R., Li, J., &amp; Han, Y. (2025). Three-dimensional point cloud displacement analysis for tunnel deformation detection using mobile laser scanning. Applied Sciences, 15(2), 625. https://doi.org/10.3390/app15020625</w:t>
      </w:r>
    </w:p>
    <w:p>
      <w:pPr>
        <w:spacing w:before="0" w:after="80" w:lineRule="auto" w:line="276"/>
        <w:ind w:left="720" w:hanging="720"/>
        <w:jc w:val="left"/>
      </w:pPr>
      <w:r>
        <w:rPr>
          <w:rFonts w:ascii="Times New Roman" w:hAnsi="Times New Roman" w:cs="Times New Roman"/>
          <w:b w:val="0"/>
          <w:i w:val="0"/>
          <w:sz w:val="20"/>
        </w:rPr>
        <w:t>Kaartinen, E., Dunphy, K., &amp; Sadhu, A. (2022). LiDAR-based structural health monitoring: Applications in civil infrastructure systems. Sensors, 22(12), 4610. https://doi.org/10.3390/s22124610</w:t>
      </w:r>
    </w:p>
    <w:p>
      <w:pPr>
        <w:spacing w:before="0" w:after="80" w:lineRule="auto" w:line="276"/>
        <w:ind w:left="720" w:hanging="720"/>
        <w:jc w:val="left"/>
      </w:pPr>
      <w:r>
        <w:rPr>
          <w:rFonts w:ascii="Times New Roman" w:hAnsi="Times New Roman" w:cs="Times New Roman"/>
          <w:b w:val="0"/>
          <w:i w:val="0"/>
          <w:sz w:val="20"/>
        </w:rPr>
        <w:t>Lee, J., &amp; Yoon, H. (2024). A continuous railway track and structural component segmentation/profiling methodology using stationary point cloud analytics. [Smart Structure Lab, CBNU — Internal Publication].</w:t>
      </w:r>
    </w:p>
    <w:p>
      <w:pPr>
        <w:spacing w:before="0" w:after="80" w:lineRule="auto" w:line="276"/>
        <w:ind w:left="720" w:hanging="720"/>
        <w:jc w:val="left"/>
      </w:pPr>
      <w:r>
        <w:rPr>
          <w:rFonts w:ascii="Times New Roman" w:hAnsi="Times New Roman" w:cs="Times New Roman"/>
          <w:b w:val="0"/>
          <w:i w:val="0"/>
          <w:sz w:val="20"/>
        </w:rPr>
        <w:t>Wang, W., et al. (2020). Tunnel deformation inspection via global spatial axis extraction from 3D raw point cloud. Sensors, 20(23), 6815. https://doi.org/10.3390/s20236815</w:t>
      </w:r>
    </w:p>
    <w:p>
      <w:pPr>
        <w:spacing w:before="0" w:after="80" w:lineRule="auto" w:line="276"/>
        <w:ind w:left="720" w:hanging="720"/>
        <w:jc w:val="left"/>
      </w:pPr>
      <w:r>
        <w:rPr>
          <w:rFonts w:ascii="Times New Roman" w:hAnsi="Times New Roman" w:cs="Times New Roman"/>
          <w:b w:val="0"/>
          <w:i w:val="0"/>
          <w:sz w:val="20"/>
        </w:rPr>
        <w:t>Yoon, H. (2021). Computer vision and optical sensor applications for civil infrastructure SHM in South Korea: A baseline review. [Smart Structure Lab, CBNU — Internal Publication].</w:t>
      </w:r>
    </w:p>
    <w:p>
      <w:pPr>
        <w:spacing w:before="0" w:after="80" w:lineRule="auto" w:line="276"/>
        <w:ind w:left="720" w:hanging="720"/>
        <w:jc w:val="left"/>
      </w:pPr>
      <w:r>
        <w:rPr>
          <w:rFonts w:ascii="Times New Roman" w:hAnsi="Times New Roman" w:cs="Times New Roman"/>
          <w:b w:val="0"/>
          <w:i w:val="0"/>
          <w:sz w:val="20"/>
        </w:rPr>
        <w:t>Yoon, H., et al. (2022). An automated framework utilizing mobile laser scanning and deep learning for tunnel structural lining extraction and macro-defect detection. [Smart Structure Lab, CBNU — Internal Publication].</w:t>
      </w:r>
    </w:p>
    <w:p>
      <w:pPr>
        <w:spacing w:before="160" w:after="160" w:lineRule="auto" w:line="240"/>
        <w:jc w:val="both"/>
        <w:pBdr>
          <w:bottom w:val="single" w:sz="4" w:space="1" w:color="AAAAAA"/>
        </w:pBdr>
      </w:pPr>
    </w:p>
    <w:p>
      <w:pPr>
        <w:spacing w:before="120" w:after="0" w:lineRule="auto" w:line="240"/>
        <w:jc w:val="center"/>
      </w:pPr>
      <w:r>
        <w:rPr>
          <w:rFonts w:ascii="Times New Roman" w:hAnsi="Times New Roman" w:cs="Times New Roman"/>
          <w:b w:val="0"/>
          <w:i/>
          <w:color w:val="787878"/>
          <w:sz w:val="18"/>
        </w:rPr>
        <w:t>Manuscript: TunnelApp v4.0  |  Section 1 Revised Introduction  |  SSL-CBNU / KRRI Project  |  Draft for Prof. Hyungchul Yoon  |  Pre-confirmed: Jaehyuk Lee</w:t>
      </w:r>
    </w:p>
    <w:sectPr w:rsidR="00FC693F" w:rsidRPr="0006063C" w:rsidSect="00034616">
      <w:pgSz w:w="11909" w:h="16834"/>
      <w:pgMar w:top="1440" w:right="1440" w:bottom="1440" w:left="1800" w:header="720" w:footer="720" w:gutter="0"/>
      <w:cols w:space="720"/>
      <w:docGrid w:linePitch="360"/>
      <w:lnNumType w:countBy="1" w:restart="continuous" w:distan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