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ascii="Times New Roman" w:hAnsi="Times New Roman" w:cs="Times New Roman"/>
          <w:b/>
          <w:i w:val="0"/>
          <w:sz w:val="32"/>
        </w:rPr>
        <w:t>TunnelApp v4.0: A Five-Layer Automated LiDAR Point Cloud Architecture for Railway Tunnel Structural Health Monitoring</w:t>
      </w:r>
    </w:p>
    <w:p>
      <w:pPr>
        <w:spacing w:before="0" w:after="360" w:lineRule="auto" w:line="276"/>
        <w:jc w:val="left"/>
      </w:pPr>
      <w:r>
        <w:rPr>
          <w:rFonts w:ascii="Times New Roman" w:hAnsi="Times New Roman" w:cs="Times New Roman"/>
          <w:b/>
          <w:i/>
          <w:sz w:val="20"/>
        </w:rPr>
        <w:t xml:space="preserve">Keywords: </w:t>
      </w:r>
      <w:r>
        <w:rPr>
          <w:rFonts w:ascii="Times New Roman" w:hAnsi="Times New Roman" w:cs="Times New Roman"/>
          <w:b w:val="0"/>
          <w:i/>
          <w:sz w:val="20"/>
        </w:rPr>
        <w:t>LiDAR; point cloud; structural health monitoring; Bishop frame; Fitzgibbon ellipse fitting; Hausdorff distance; Numba JIT; digital twin; railway tunnel</w:t>
      </w:r>
    </w:p>
    <w:p>
      <w:pPr>
        <w:spacing w:before="240" w:after="120" w:lineRule="auto" w:line="276"/>
        <w:jc w:val="left"/>
      </w:pPr>
      <w:r>
        <w:rPr>
          <w:rFonts w:ascii="Times New Roman" w:hAnsi="Times New Roman" w:cs="Times New Roman"/>
          <w:b/>
          <w:i w:val="0"/>
          <w:sz w:val="26"/>
        </w:rPr>
        <w:t>1. Introduction</w:t>
      </w:r>
    </w:p>
    <w:p>
      <w:pPr>
        <w:spacing w:before="0" w:after="120" w:lineRule="auto" w:line="360"/>
        <w:jc w:val="both"/>
      </w:pPr>
      <w:r>
        <w:rPr>
          <w:rFonts w:ascii="Times New Roman" w:hAnsi="Times New Roman" w:cs="Times New Roman"/>
          <w:b w:val="0"/>
          <w:i w:val="0"/>
          <w:sz w:val="22"/>
        </w:rPr>
        <w:t>Tunnel infrastructure constitutes a critical component of national transportation and utility networks, operating under sustained mechanical loads, groundwater ingress, and seismic excitation across service lifetimes exceeding five decades (Guo et al., 2025; Kaartinen et al., 2022). Progressive structural deterioration — manifesting as cross-sectional convergence, vault settlement, lining eccentricity, and ovality distortion — accumulates incrementally, rendering periodic quantitative monitoring a safety-critical operational requirement (Ji et al., 2025). Conventional inspection practice relies on manual visual surveys and contact-based measurement instruments, both of which are constrained by subjectivity, point-in-time assessment scope, and inability to resolve sub-millimeter geometric change systematically (Kaartinen et al., 2022). The widespread adoption of terrestrial laser scanning (TLS) and mobile laser scanning (MLS) has substantially advanced non-contact, high-density 3D geometric acquisition for tunnel structural health monitoring (SHM), enabling dense point cloud representation of lining geometry over longitudinal extents exceeding several kilometers within a single survey session (Jeong et al., 2023; Ji et al., 2025).</w:t>
      </w:r>
    </w:p>
    <w:p>
      <w:pPr>
        <w:spacing w:before="0" w:after="120" w:lineRule="auto" w:line="360"/>
        <w:jc w:val="both"/>
      </w:pPr>
      <w:r>
        <w:rPr>
          <w:rFonts w:ascii="Times New Roman" w:hAnsi="Times New Roman" w:cs="Times New Roman"/>
          <w:b w:val="0"/>
          <w:i w:val="0"/>
          <w:sz w:val="22"/>
        </w:rPr>
        <w:t>Commercial processing platforms — including Amberg Tunnel, Leica Cyclone 3DR, and FARO Scene — provide mature workflows for cross-section extraction and convergence reporting. Nevertheless, three systematic deficiencies persist across both commercial and academic implementations. First, cross-section coordinate frames derived from the classical Frenet-Serret formulation exhibit angular singularities at zero-curvature (straight) tunnel segments, where the principal normal vector is geometrically undefined, producing twist discontinuities of 5–15 degrees that corrupt eccentricity and ovality measurements (Bishop, 1975; Wang et al., 2020). Second, ovality estimation based on covariance eigenvalue decomposition conflates point cloud noise with genuine geometric distortion, yielding systematic overestimation of lining deformation in the presence of sparse or heterogeneous scan density. Third, Python-based processing pipelines are subject to the CPython Global Interpreter Lock (GIL), which serializes computational threads and prevents parallelization of numerically intensive inner loops, imposing prohibitive latency for real-time field deployment.</w:t>
      </w:r>
    </w:p>
    <w:p>
      <w:pPr>
        <w:spacing w:before="0" w:after="120" w:lineRule="auto" w:line="360"/>
        <w:jc w:val="both"/>
      </w:pPr>
      <w:r>
        <w:rPr>
          <w:rFonts w:ascii="Times New Roman" w:hAnsi="Times New Roman" w:cs="Times New Roman"/>
          <w:b w:val="0"/>
          <w:i w:val="0"/>
          <w:sz w:val="22"/>
        </w:rPr>
        <w:t>This paper presents TunnelApp v4.0, a five-layer open-source software architecture for automated LiDAR-based tunnel SHM that addresses each of the above deficiencies through three principal technical contributions:</w:t>
      </w:r>
    </w:p>
    <w:p>
      <w:pPr>
        <w:spacing w:before="0" w:after="120" w:lineRule="auto" w:line="360"/>
        <w:ind w:left="576" w:hanging="576"/>
        <w:jc w:val="both"/>
      </w:pPr>
      <w:r>
        <w:rPr>
          <w:rFonts w:ascii="Times New Roman" w:hAnsi="Times New Roman" w:cs="Times New Roman"/>
          <w:b/>
          <w:i w:val="0"/>
          <w:sz w:val="22"/>
        </w:rPr>
        <w:t xml:space="preserve">(i) </w:t>
      </w:r>
      <w:r>
        <w:rPr>
          <w:rFonts w:ascii="Times New Roman" w:hAnsi="Times New Roman" w:cs="Times New Roman"/>
          <w:b w:val="0"/>
          <w:i w:val="0"/>
          <w:sz w:val="22"/>
        </w:rPr>
        <w:t>A kinematic Bishop Parallel Transport Frame, implemented via the Double Reflection method, propagates a twist-free orthonormal cross-section frame along the full tunnel alignment — including zero-curvature segments — eliminating the singularity inherent in Frenet-Serret formulations (Bishop, 1975).</w:t>
      </w:r>
    </w:p>
    <w:p>
      <w:pPr>
        <w:spacing w:before="0" w:after="120" w:lineRule="auto" w:line="360"/>
        <w:ind w:left="576" w:hanging="576"/>
        <w:jc w:val="both"/>
      </w:pPr>
      <w:r>
        <w:rPr>
          <w:rFonts w:ascii="Times New Roman" w:hAnsi="Times New Roman" w:cs="Times New Roman"/>
          <w:b/>
          <w:i w:val="0"/>
          <w:sz w:val="22"/>
        </w:rPr>
        <w:t xml:space="preserve">(ii) </w:t>
      </w:r>
      <w:r>
        <w:rPr>
          <w:rFonts w:ascii="Times New Roman" w:hAnsi="Times New Roman" w:cs="Times New Roman"/>
          <w:b w:val="0"/>
          <w:i w:val="0"/>
          <w:sz w:val="22"/>
        </w:rPr>
        <w:t>Fitzgibbon's algebraic distance least-squares ellipse fitting replaces covariance-based ovality estimation, providing a statistically consistent estimator of lining ellipticity under heterogeneous point density (Fitzgibbon et al., 1999), combined with multi-epoch deformation tracking via k-d tree Hausdorff distance computation between reference epoch T₀ and monitoring epoch Tₙ.</w:t>
      </w:r>
    </w:p>
    <w:p>
      <w:pPr>
        <w:spacing w:before="0" w:after="120" w:lineRule="auto" w:line="360"/>
        <w:ind w:left="576" w:hanging="576"/>
        <w:jc w:val="both"/>
      </w:pPr>
      <w:r>
        <w:rPr>
          <w:rFonts w:ascii="Times New Roman" w:hAnsi="Times New Roman" w:cs="Times New Roman"/>
          <w:b/>
          <w:i w:val="0"/>
          <w:sz w:val="22"/>
        </w:rPr>
        <w:t xml:space="preserve">(iii) </w:t>
      </w:r>
      <w:r>
        <w:rPr>
          <w:rFonts w:ascii="Times New Roman" w:hAnsi="Times New Roman" w:cs="Times New Roman"/>
          <w:b w:val="0"/>
          <w:i w:val="0"/>
          <w:sz w:val="22"/>
        </w:rPr>
        <w:t>Computationally intensive mathematical kernels are decoupled from object-oriented wrappers into C-contiguous NumPy arrays and compiled via Numba JIT (@njit(fastmath=True)), bypassing the GIL and achieving near-native execution throughput for batch cross-section analysis.</w:t>
      </w:r>
    </w:p>
    <w:p>
      <w:pPr>
        <w:spacing w:before="0" w:after="120" w:lineRule="auto" w:line="360"/>
        <w:jc w:val="both"/>
      </w:pPr>
      <w:r>
        <w:rPr>
          <w:rFonts w:ascii="Times New Roman" w:hAnsi="Times New Roman" w:cs="Times New Roman"/>
          <w:b w:val="0"/>
          <w:i w:val="0"/>
          <w:sz w:val="22"/>
        </w:rPr>
        <w:t>Additionally, an air-gapped local Llama 3 language model integration — requiring no external network connectivity — enables natural-language structural assessment on secure national infrastructure deployments, ensuring data sovereignty and compliance with strict critical asset protection policies.</w:t>
      </w:r>
    </w:p>
    <w:p>
      <w:pPr>
        <w:spacing w:before="240" w:after="120" w:lineRule="auto" w:line="276"/>
        <w:jc w:val="left"/>
      </w:pPr>
      <w:r>
        <w:rPr>
          <w:rFonts w:ascii="Times New Roman" w:hAnsi="Times New Roman" w:cs="Times New Roman"/>
          <w:b/>
          <w:i w:val="0"/>
          <w:sz w:val="24"/>
        </w:rPr>
        <w:t>References</w:t>
      </w:r>
    </w:p>
    <w:p>
      <w:pPr>
        <w:spacing w:before="0" w:after="80" w:lineRule="auto" w:line="276"/>
        <w:ind w:left="720" w:hanging="720"/>
        <w:jc w:val="left"/>
      </w:pPr>
      <w:r>
        <w:rPr>
          <w:rFonts w:ascii="Times New Roman" w:hAnsi="Times New Roman" w:cs="Times New Roman"/>
          <w:b w:val="0"/>
          <w:i w:val="0"/>
          <w:sz w:val="20"/>
        </w:rPr>
        <w:t>Bishop, R. L. (1975). There is more than one way to frame a curve. The American Mathematical Monthly, 82(3), 246–251.</w:t>
      </w:r>
    </w:p>
    <w:p>
      <w:pPr>
        <w:spacing w:before="0" w:after="80" w:lineRule="auto" w:line="276"/>
        <w:ind w:left="720" w:hanging="720"/>
        <w:jc w:val="left"/>
      </w:pPr>
      <w:r>
        <w:rPr>
          <w:rFonts w:ascii="Times New Roman" w:hAnsi="Times New Roman" w:cs="Times New Roman"/>
          <w:b w:val="0"/>
          <w:i w:val="0"/>
          <w:sz w:val="20"/>
        </w:rPr>
        <w:t>Fitzgibbon, A. W., Pilu, M., &amp; Fisher, R. B. (1999). Direct least square fitting of ellipses. IEEE Transactions on Pattern Analysis and Machine Intelligence, 21(5), 476–480.</w:t>
      </w:r>
    </w:p>
    <w:p>
      <w:pPr>
        <w:spacing w:before="0" w:after="80" w:lineRule="auto" w:line="276"/>
        <w:ind w:left="720" w:hanging="720"/>
        <w:jc w:val="left"/>
      </w:pPr>
      <w:r>
        <w:rPr>
          <w:rFonts w:ascii="Times New Roman" w:hAnsi="Times New Roman" w:cs="Times New Roman"/>
          <w:b w:val="0"/>
          <w:i w:val="0"/>
          <w:sz w:val="20"/>
        </w:rPr>
        <w:t>Guo, Y., et al. (2025). Structural health monitoring based on three-dimensional point cloud technology: A systematic review. Results in Engineering, 25, 103612.</w:t>
      </w:r>
    </w:p>
    <w:p>
      <w:pPr>
        <w:spacing w:before="0" w:after="80" w:lineRule="auto" w:line="276"/>
        <w:ind w:left="720" w:hanging="720"/>
        <w:jc w:val="left"/>
      </w:pPr>
      <w:r>
        <w:rPr>
          <w:rFonts w:ascii="Times New Roman" w:hAnsi="Times New Roman" w:cs="Times New Roman"/>
          <w:b w:val="0"/>
          <w:i w:val="0"/>
          <w:sz w:val="20"/>
        </w:rPr>
        <w:t>Jeong, S., Kim, M. G., Park, J. Y., &amp; Oh, K. Y. (2023). Long-term monitoring method for tunnel structure transformation using a 3D LiDAR equipped in a mobile robot. Structural Health Monitoring, 22(4).</w:t>
      </w:r>
    </w:p>
    <w:p>
      <w:pPr>
        <w:spacing w:before="0" w:after="80" w:lineRule="auto" w:line="276"/>
        <w:ind w:left="720" w:hanging="720"/>
        <w:jc w:val="left"/>
      </w:pPr>
      <w:r>
        <w:rPr>
          <w:rFonts w:ascii="Times New Roman" w:hAnsi="Times New Roman" w:cs="Times New Roman"/>
          <w:b w:val="0"/>
          <w:i w:val="0"/>
          <w:sz w:val="20"/>
        </w:rPr>
        <w:t>Ji, C., Sun, H., Zhong, R., Li, J., &amp; Han, Y. (2025). Three-dimensional point cloud displacement analysis for tunnel deformation detection using mobile laser scanning. Applied Sciences, 15(2), 625.</w:t>
      </w:r>
    </w:p>
    <w:p>
      <w:pPr>
        <w:spacing w:before="0" w:after="80" w:lineRule="auto" w:line="276"/>
        <w:ind w:left="720" w:hanging="720"/>
        <w:jc w:val="left"/>
      </w:pPr>
      <w:r>
        <w:rPr>
          <w:rFonts w:ascii="Times New Roman" w:hAnsi="Times New Roman" w:cs="Times New Roman"/>
          <w:b w:val="0"/>
          <w:i w:val="0"/>
          <w:sz w:val="20"/>
        </w:rPr>
        <w:t>Kaartinen, E., Dunphy, K., &amp; Sadhu, A. (2022). LiDAR-based structural health monitoring: Applications in civil infrastructure systems. Sensors, 22(12), 4610.</w:t>
      </w:r>
    </w:p>
    <w:p>
      <w:pPr>
        <w:spacing w:before="0" w:after="80" w:lineRule="auto" w:line="276"/>
        <w:ind w:left="720" w:hanging="720"/>
        <w:jc w:val="left"/>
      </w:pPr>
      <w:r>
        <w:rPr>
          <w:rFonts w:ascii="Times New Roman" w:hAnsi="Times New Roman" w:cs="Times New Roman"/>
          <w:b w:val="0"/>
          <w:i w:val="0"/>
          <w:sz w:val="20"/>
        </w:rPr>
        <w:t>Wang, W., et al. (2020). Tunnel deformation inspection via global spatial axis extraction from 3D raw point cloud. Sensors, 20(23), 6815.</w:t>
      </w:r>
    </w:p>
    <w:sectPr w:rsidR="00FC693F" w:rsidRPr="0006063C" w:rsidSect="00034616">
      <w:pgSz w:w="11909" w:h="16834"/>
      <w:pgMar w:top="1440" w:right="1440" w:bottom="1440" w:left="1800" w:header="720" w:footer="720" w:gutter="0"/>
      <w:cols w:space="720"/>
      <w:docGrid w:linePitch="360"/>
      <w:lnNumType w:countBy="1" w:restart="continuous" w:distan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