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left"/>
      </w:pPr>
      <w:r>
        <w:rPr>
          <w:rFonts w:ascii="Times New Roman" w:cs="Times New Roman" w:eastAsia="Times New Roman" w:hAnsi="Times New Roman"/>
          <w:b/>
          <w:bCs/>
          <w:sz w:val="28"/>
          <w:szCs w:val="28"/>
        </w:rPr>
        <w:t xml:space="preserve">1. Introduction</w:t>
      </w:r>
    </w:p>
    <w:p>
      <w:pPr>
        <w:spacing w:after="120" w:line="360"/>
        <w:ind w:firstLine="720"/>
        <w:jc w:val="both"/>
      </w:pPr>
      <w:r>
        <w:rPr>
          <w:rFonts w:ascii="Times New Roman" w:cs="Times New Roman" w:eastAsia="Times New Roman" w:hAnsi="Times New Roman"/>
          <w:sz w:val="24"/>
          <w:szCs w:val="24"/>
        </w:rPr>
        <w:t xml:space="preserve">The safety and serviceability of underground tunnels have become a growing concern as transportation infrastructure worldwide continues to age. </w:t>
      </w:r>
      <w:r>
        <w:rPr>
          <w:rFonts w:ascii="Times New Roman" w:cs="Times New Roman" w:eastAsia="Times New Roman" w:hAnsi="Times New Roman"/>
          <w:sz w:val="24"/>
          <w:szCs w:val="24"/>
        </w:rPr>
        <w:t xml:space="preserve">In 2007, the collapse of the I-35W Bridge over the Mississippi River in Minneapolis after 40 years in service resulted in 13 fatalities and 145 injuries (Salem &amp; Helmy, 2014). </w:t>
      </w:r>
      <w:r>
        <w:rPr>
          <w:rFonts w:ascii="Times New Roman" w:cs="Times New Roman" w:eastAsia="Times New Roman" w:hAnsi="Times New Roman"/>
          <w:sz w:val="24"/>
          <w:szCs w:val="24"/>
        </w:rPr>
        <w:t xml:space="preserve">Similarly, the catastrophic fire in the Frejus road tunnel between France and Italy in 2005 and the Gleinalm Tunnel blowout in Austria in 2001 exposed the severe consequences of undetected lining deterioration (European Commission, 2004; Carvel &amp; Beard, 2012). </w:t>
      </w:r>
      <w:r>
        <w:rPr>
          <w:rFonts w:ascii="Times New Roman" w:cs="Times New Roman" w:eastAsia="Times New Roman" w:hAnsi="Times New Roman"/>
          <w:sz w:val="24"/>
          <w:szCs w:val="24"/>
        </w:rPr>
        <w:t xml:space="preserve">These incidents have prompted regulatory bodies to mandate periodic geometric inspections for all tunnels exceeding certain thresholds. </w:t>
      </w:r>
      <w:r>
        <w:rPr>
          <w:rFonts w:ascii="Times New Roman" w:cs="Times New Roman" w:eastAsia="Times New Roman" w:hAnsi="Times New Roman"/>
          <w:sz w:val="24"/>
          <w:szCs w:val="24"/>
        </w:rPr>
        <w:t xml:space="preserve">In South Korea, the national railway network operates more than 700 tunnels with a total length exceeding 850 km, and both KR C-08080 and KDS 27 25 00 require geometric surveys at intervals of not less than six months for tunnels in deformation-sensitive ground conditions (MOLIT, 2020; MOLIT, 2021). </w:t>
      </w:r>
      <w:r>
        <w:rPr>
          <w:rFonts w:ascii="Times New Roman" w:cs="Times New Roman" w:eastAsia="Times New Roman" w:hAnsi="Times New Roman"/>
          <w:sz w:val="24"/>
          <w:szCs w:val="24"/>
        </w:rPr>
        <w:t xml:space="preserve">The economic consequences of tunnel failures are equally severe: a single unplanned closure of a metropolitan rail tunnel results in a direct loss estimated at USD 1–3 million per day in Seoul’s urban network (KISTEC, 2023). </w:t>
      </w:r>
      <w:r>
        <w:rPr>
          <w:rFonts w:ascii="Times New Roman" w:cs="Times New Roman" w:eastAsia="Times New Roman" w:hAnsi="Times New Roman"/>
          <w:sz w:val="24"/>
          <w:szCs w:val="24"/>
        </w:rPr>
        <w:t xml:space="preserve">These safety and economic imperatives make automated, high-accuracy structural health monitoring (SHM) of underground tunnels a critical engineering priority.</w:t>
      </w:r>
    </w:p>
    <w:p>
      <w:pPr>
        <w:spacing w:after="120" w:line="360"/>
        <w:ind w:firstLine="720"/>
        <w:jc w:val="both"/>
      </w:pPr>
      <w:r>
        <w:rPr>
          <w:rFonts w:ascii="Times New Roman" w:cs="Times New Roman" w:eastAsia="Times New Roman" w:hAnsi="Times New Roman"/>
          <w:sz w:val="24"/>
          <w:szCs w:val="24"/>
        </w:rPr>
        <w:t xml:space="preserve">Terrestrial LiDAR scanning has emerged as the dominant technology for tunnel SHM owing to its ability to capture full-section, sub-millimetre-resolution 3D point clouds in a single survey pass without disrupting traffic operations (Alba et al., 2006; Nuttens et al., 2010). </w:t>
      </w:r>
      <w:r>
        <w:rPr>
          <w:rFonts w:ascii="Times New Roman" w:cs="Times New Roman" w:eastAsia="Times New Roman" w:hAnsi="Times New Roman"/>
          <w:sz w:val="24"/>
          <w:szCs w:val="24"/>
        </w:rPr>
        <w:t xml:space="preserve">Prior studies have demonstrated the effectiveness of LiDAR-based approaches for specific subtasks within the inspection workflow. </w:t>
      </w:r>
      <w:r>
        <w:rPr>
          <w:rFonts w:ascii="Times New Roman" w:cs="Times New Roman" w:eastAsia="Times New Roman" w:hAnsi="Times New Roman"/>
          <w:sz w:val="24"/>
          <w:szCs w:val="24"/>
        </w:rPr>
        <w:t xml:space="preserve">Jung et al. (2021) extracted ovality metrics from mobile laser scanning data using iterative circle fitting. </w:t>
      </w:r>
      <w:r>
        <w:rPr>
          <w:rFonts w:ascii="Times New Roman" w:cs="Times New Roman" w:eastAsia="Times New Roman" w:hAnsi="Times New Roman"/>
          <w:sz w:val="24"/>
          <w:szCs w:val="24"/>
        </w:rPr>
        <w:t xml:space="preserve">Gikas (2012) applied least-squares cylinder fitting for long-term convergence monitoring of highway tunnels during excavation. </w:t>
      </w:r>
      <w:r>
        <w:rPr>
          <w:rFonts w:ascii="Times New Roman" w:cs="Times New Roman" w:eastAsia="Times New Roman" w:hAnsi="Times New Roman"/>
          <w:sz w:val="24"/>
          <w:szCs w:val="24"/>
        </w:rPr>
        <w:t xml:space="preserve">Ye et al. (2023) combined 3D semantic segmentation with point cloud processing to detect surface cracks at millimetre scale. </w:t>
      </w:r>
      <w:r>
        <w:rPr>
          <w:rFonts w:ascii="Times New Roman" w:cs="Times New Roman" w:eastAsia="Times New Roman" w:hAnsi="Times New Roman"/>
          <w:sz w:val="24"/>
          <w:szCs w:val="24"/>
        </w:rPr>
        <w:t xml:space="preserve">Attard et al. (2018) benchmarked five commercial software packages on tunnel inspection accuracy, reporting significant variability in results depending on preprocessing quality. </w:t>
      </w:r>
      <w:r>
        <w:rPr>
          <w:rFonts w:ascii="Times New Roman" w:cs="Times New Roman" w:eastAsia="Times New Roman" w:hAnsi="Times New Roman"/>
          <w:sz w:val="24"/>
          <w:szCs w:val="24"/>
        </w:rPr>
        <w:t xml:space="preserve">These studies collectively demonstrate the maturity of LiDAR-based geometric analysis for individual inspection subtasks.</w:t>
      </w:r>
    </w:p>
    <w:p>
      <w:pPr>
        <w:spacing w:after="120" w:line="360"/>
        <w:ind w:firstLine="720"/>
        <w:jc w:val="both"/>
      </w:pPr>
      <w:r>
        <w:rPr>
          <w:rFonts w:ascii="Times New Roman" w:cs="Times New Roman" w:eastAsia="Times New Roman" w:hAnsi="Times New Roman"/>
          <w:sz w:val="24"/>
          <w:szCs w:val="24"/>
        </w:rPr>
        <w:t xml:space="preserve">Concurrent advances in point cloud registration have improved multi-station co-registration to sub-millimetre root mean square error (RMSE) under the sparse-feature conditions typical of tunnel interiors. </w:t>
      </w:r>
      <w:r>
        <w:rPr>
          <w:rFonts w:ascii="Times New Roman" w:cs="Times New Roman" w:eastAsia="Times New Roman" w:hAnsi="Times New Roman"/>
          <w:sz w:val="24"/>
          <w:szCs w:val="24"/>
        </w:rPr>
        <w:t xml:space="preserve">Segal et al. (2009) introduced the Generalised Iterative Closest Point (GICP) algorithm, which models local surface geometry as Gaussian distributions, achieving more robust alignment than standard ICP in environments with planar surfaces. </w:t>
      </w:r>
      <w:r>
        <w:rPr>
          <w:rFonts w:ascii="Times New Roman" w:cs="Times New Roman" w:eastAsia="Times New Roman" w:hAnsi="Times New Roman"/>
          <w:sz w:val="24"/>
          <w:szCs w:val="24"/>
        </w:rPr>
        <w:t xml:space="preserve">Yang et al. (2016) proposed Go-ICP, a globally optimal solution to the 3D ICP problem that guarantees convergence to the global minimum regardless of initialisation. </w:t>
      </w:r>
      <w:r>
        <w:rPr>
          <w:rFonts w:ascii="Times New Roman" w:cs="Times New Roman" w:eastAsia="Times New Roman" w:hAnsi="Times New Roman"/>
          <w:sz w:val="24"/>
          <w:szCs w:val="24"/>
        </w:rPr>
        <w:t xml:space="preserve">For multi-epoch change detection, Lague et al. (2013) developed the Multiscale Model to Model Cloud Comparison (M3C2) algorithm, which provides statistically principled Level-of-Detection (LoD) thresholding that accounts for local point cloud roughness and registration uncertainty. </w:t>
      </w:r>
      <w:r>
        <w:rPr>
          <w:rFonts w:ascii="Times New Roman" w:cs="Times New Roman" w:eastAsia="Times New Roman" w:hAnsi="Times New Roman"/>
          <w:sz w:val="24"/>
          <w:szCs w:val="24"/>
        </w:rPr>
        <w:t xml:space="preserve">More recently, Retrieval-Augmented Generation (RAG) architectures (Lewis et al., 2020) have been applied to structural assessment by grounding large language model (LLM) outputs in retrieved engineering standards, substantially reducing hallucination rates in safety-critical contexts (Jiang et al., 2024; Zheng et al., 2024).</w:t>
      </w:r>
    </w:p>
    <w:p>
      <w:pPr>
        <w:spacing w:after="120" w:line="360"/>
        <w:ind w:firstLine="720"/>
        <w:jc w:val="both"/>
      </w:pPr>
      <w:r>
        <w:rPr>
          <w:rFonts w:ascii="Times New Roman" w:cs="Times New Roman" w:eastAsia="Times New Roman" w:hAnsi="Times New Roman"/>
          <w:sz w:val="24"/>
          <w:szCs w:val="24"/>
        </w:rPr>
        <w:t xml:space="preserve">Despite these individual advances, three persistent gaps prevent their deployment as a unified, production-grade inspection pipeline. </w:t>
      </w:r>
      <w:r>
        <w:rPr>
          <w:rFonts w:ascii="Times New Roman" w:cs="Times New Roman" w:eastAsia="Times New Roman" w:hAnsi="Times New Roman"/>
          <w:sz w:val="24"/>
          <w:szCs w:val="24"/>
        </w:rPr>
        <w:t xml:space="preserve">First, raw tunnel scans contain 5–30% non-structural points—cables, lighting fixtures, survey targets, and personnel—that corrupt downstream geometric estimators if not removed. </w:t>
      </w:r>
      <w:r>
        <w:rPr>
          <w:rFonts w:ascii="Times New Roman" w:cs="Times New Roman" w:eastAsia="Times New Roman" w:hAnsi="Times New Roman"/>
          <w:sz w:val="24"/>
          <w:szCs w:val="24"/>
        </w:rPr>
        <w:t xml:space="preserve">Existing statistical outlier removal methods (Rusu et al., 2008) are designed for random Gaussian noise and fail against the structured, elongated geometry of wall-mounted cable runs, which exhibit spatial coherence that evades purely distance-based filters. </w:t>
      </w:r>
      <w:r>
        <w:rPr>
          <w:rFonts w:ascii="Times New Roman" w:cs="Times New Roman" w:eastAsia="Times New Roman" w:hAnsi="Times New Roman"/>
          <w:sz w:val="24"/>
          <w:szCs w:val="24"/>
        </w:rPr>
        <w:t xml:space="preserve">Second, cross-section extraction in curved tunnels requires slicing perpendicular to the local tunnel axis. </w:t>
      </w:r>
      <w:r>
        <w:rPr>
          <w:rFonts w:ascii="Times New Roman" w:cs="Times New Roman" w:eastAsia="Times New Roman" w:hAnsi="Times New Roman"/>
          <w:sz w:val="24"/>
          <w:szCs w:val="24"/>
        </w:rPr>
        <w:t xml:space="preserve">Axis-aligned (world-frame) sectioning introduces oblique cuts that systematically overestimate ovality by up to 15% in arcs with radius below 300 m. </w:t>
      </w:r>
      <w:r>
        <w:rPr>
          <w:rFonts w:ascii="Times New Roman" w:cs="Times New Roman" w:eastAsia="Times New Roman" w:hAnsi="Times New Roman"/>
          <w:sz w:val="24"/>
          <w:szCs w:val="24"/>
        </w:rPr>
        <w:t xml:space="preserve">However, no existing open-source tool automatically applies axis-orthogonal Frenet-frame sectioning, forcing practitioners to resort to manual alignment or simplified straight-axis assumptions. </w:t>
      </w:r>
      <w:r>
        <w:rPr>
          <w:rFonts w:ascii="Times New Roman" w:cs="Times New Roman" w:eastAsia="Times New Roman" w:hAnsi="Times New Roman"/>
          <w:sz w:val="24"/>
          <w:szCs w:val="24"/>
        </w:rPr>
        <w:t xml:space="preserve">Third, translating geometric metrics—crown settlement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ᵥ, lateral convergence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ₕ, ovality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and eccentricity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—into prioritised engineering actions currently demands manual review by a qualified structural engineer for every report cycle, creating a bottleneck that limits monitoring frequency and scalability. </w:t>
      </w:r>
      <w:r>
        <w:rPr>
          <w:rFonts w:ascii="Times New Roman" w:cs="Times New Roman" w:eastAsia="Times New Roman" w:hAnsi="Times New Roman"/>
          <w:sz w:val="24"/>
          <w:szCs w:val="24"/>
        </w:rPr>
        <w:t xml:space="preserve">No existing open-source system addresses all three gaps within a single, standards-compliant, end-to-end pipeline.</w:t>
      </w:r>
    </w:p>
    <w:p>
      <w:pPr>
        <w:spacing w:after="120" w:line="360"/>
        <w:ind w:firstLine="720"/>
        <w:jc w:val="both"/>
      </w:pPr>
      <w:r>
        <w:rPr>
          <w:rFonts w:ascii="Times New Roman" w:cs="Times New Roman" w:eastAsia="Times New Roman" w:hAnsi="Times New Roman"/>
          <w:sz w:val="24"/>
          <w:szCs w:val="24"/>
        </w:rPr>
        <w:t xml:space="preserve">To address these challenges, this paper presents the SSL Smart Tunnel Monitoring System, a fully automated, Python-based LiDAR processing pipeline that closes all three gaps simultaneously. </w:t>
      </w:r>
      <w:r>
        <w:rPr>
          <w:rFonts w:ascii="Times New Roman" w:cs="Times New Roman" w:eastAsia="Times New Roman" w:hAnsi="Times New Roman"/>
          <w:sz w:val="24"/>
          <w:szCs w:val="24"/>
        </w:rPr>
        <w:t xml:space="preserve">The system ingests raw multi-station scans in standard formats (LAS, LAZ, PLY, TXT), applies a novel cascaded denoising algorithm, performs robust multi-scan registration, extracts geometrically correct cross-sections via Frenet frames, computes all KR C-08080–specified deformation metrics, and produces engineering-grade outputs—CSV/Excel summaries, professional PDF reports, and IFC4X3 Building Information Models—without any manual intervention. </w:t>
      </w:r>
      <w:r>
        <w:rPr>
          <w:rFonts w:ascii="Times New Roman" w:cs="Times New Roman" w:eastAsia="Times New Roman" w:hAnsi="Times New Roman"/>
          <w:sz w:val="24"/>
          <w:szCs w:val="24"/>
        </w:rPr>
        <w:t xml:space="preserve">A local Retrieval-Augmented Generation assistant, powered by an on-device LLM, generates engineer-readable safety assessments from structured measurement data without transmitting any data to external servers.</w:t>
      </w:r>
    </w:p>
    <w:p>
      <w:pPr>
        <w:spacing w:after="120" w:line="360"/>
        <w:ind w:firstLine="720"/>
        <w:jc w:val="both"/>
      </w:pPr>
      <w:r>
        <w:rPr>
          <w:rFonts w:ascii="Times New Roman" w:cs="Times New Roman" w:eastAsia="Times New Roman" w:hAnsi="Times New Roman"/>
          <w:sz w:val="24"/>
          <w:szCs w:val="24"/>
        </w:rPr>
        <w:t xml:space="preserve">The main contributions of this paper are as follows: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three-stage cascaded auto-denoising algorithm—combining morphological PCA-based classification, radial median-absolute-deviation (MAD) filtering, and cylindrical-grid wall-cable detection—is proposed to eliminate non-structural clutter from raw tunnel scans without requiring any labelled training data or manual parameter tuning.</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Frenet-frame-based cross-section extraction method is developed that guarantees geometric orthogonality to the instantaneous tunnel axis, removing the systematic ovality bias of up to 15% introduced by world-frame slicing in curved tunnel segments.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local RAG-LLM engineering assistant is introduced that retrieves relevant Korean railway safety standard excerpts (KR C-08080, KDS 27 25 00) and generates prioritised maintenance recommendations entirely on-device, eliminating dependency on external API services.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An end-to-end open-source pipeline is presented that produces IFC4X3-compatible BIM models, professional PDF inspection reports, and structured data output from a single LiDAR scan input, validated against real tunnel datasets and compliant with Korean railway safety standards.</w:t>
      </w:r>
    </w:p>
    <w:p>
      <w:pPr>
        <w:spacing w:after="120" w:line="360"/>
        <w:ind w:firstLine="720"/>
        <w:jc w:val="both"/>
      </w:pPr>
      <w:r>
        <w:rPr>
          <w:rFonts w:ascii="Times New Roman" w:cs="Times New Roman" w:eastAsia="Times New Roman" w:hAnsi="Times New Roman"/>
          <w:sz w:val="24"/>
          <w:szCs w:val="24"/>
        </w:rPr>
        <w:t xml:space="preserve">The remainder of this paper is organised as follows. </w:t>
      </w:r>
      <w:r>
        <w:rPr>
          <w:rFonts w:ascii="Times New Roman" w:cs="Times New Roman" w:eastAsia="Times New Roman" w:hAnsi="Times New Roman"/>
          <w:sz w:val="24"/>
          <w:szCs w:val="24"/>
        </w:rPr>
        <w:t xml:space="preserve">Section 2 surveys related work across the four constituent domains. </w:t>
      </w:r>
      <w:r>
        <w:rPr>
          <w:rFonts w:ascii="Times New Roman" w:cs="Times New Roman" w:eastAsia="Times New Roman" w:hAnsi="Times New Roman"/>
          <w:sz w:val="24"/>
          <w:szCs w:val="24"/>
        </w:rPr>
        <w:t xml:space="preserve">Section 3 describes the overall system architecture and module interfaces. </w:t>
      </w:r>
      <w:r>
        <w:rPr>
          <w:rFonts w:ascii="Times New Roman" w:cs="Times New Roman" w:eastAsia="Times New Roman" w:hAnsi="Times New Roman"/>
          <w:sz w:val="24"/>
          <w:szCs w:val="24"/>
        </w:rPr>
        <w:t xml:space="preserve">Sections 4 through 8 present each processing stage in detail, including the denoising cascade (Section 4), multi-scan registration (Section 5), Frenet-frame geometric analysis (Section 6), parameter extraction (Section 7), and multi-epoch change detection (Section 8). </w:t>
      </w:r>
      <w:r>
        <w:rPr>
          <w:rFonts w:ascii="Times New Roman" w:cs="Times New Roman" w:eastAsia="Times New Roman" w:hAnsi="Times New Roman"/>
          <w:sz w:val="24"/>
          <w:szCs w:val="24"/>
        </w:rPr>
        <w:t xml:space="preserve">Section 9 covers the output generation modules. </w:t>
      </w:r>
      <w:r>
        <w:rPr>
          <w:rFonts w:ascii="Times New Roman" w:cs="Times New Roman" w:eastAsia="Times New Roman" w:hAnsi="Times New Roman"/>
          <w:sz w:val="24"/>
          <w:szCs w:val="24"/>
        </w:rPr>
        <w:t xml:space="preserve">Section 10 reports experimental validation on real tunnel scan datasets. </w:t>
      </w:r>
      <w:r>
        <w:rPr>
          <w:rFonts w:ascii="Times New Roman" w:cs="Times New Roman" w:eastAsia="Times New Roman" w:hAnsi="Times New Roman"/>
          <w:sz w:val="24"/>
          <w:szCs w:val="24"/>
        </w:rPr>
        <w:t xml:space="preserve">Section 11 concludes with a summary and directions for future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2026-06-12T06:11:34.452Z</dcterms:created>
  <dcterms:modified xsi:type="dcterms:W3CDTF">2026-06-12T06:11:34.453Z</dcterms:modified>
</cp:coreProperties>
</file>

<file path=docProps/custom.xml><?xml version="1.0" encoding="utf-8"?>
<Properties xmlns="http://schemas.openxmlformats.org/officeDocument/2006/custom-properties" xmlns:vt="http://schemas.openxmlformats.org/officeDocument/2006/docPropsVTypes"/>
</file>