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Tunnel Monitoring System: An Automated LiDAR-Based Point Cloud</w:t>
      </w:r>
    </w:p>
    <w:p>
      <w:pPr>
        <w:spacing w:after="300" w:line="360"/>
        <w:jc w:val="center"/>
      </w:pPr>
      <w:r>
        <w:rPr>
          <w:rFonts w:ascii="Times New Roman" w:cs="Times New Roman" w:eastAsia="Times New Roman" w:hAnsi="Times New Roman"/>
          <w:b/>
          <w:bCs/>
          <w:sz w:val="32"/>
          <w:szCs w:val="32"/>
        </w:rPr>
        <w:t xml:space="preserve">Processing Pipeline for Structural Health Monitoring of Underground Tunnels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LiDAR point cloud; tunnel structural health monitoring; automatic denoising; Frenet frame; M3C2 change detection; IFC4X3; retrieval-augmented generation</w:t>
      </w:r>
    </w:p>
    <w:p>
      <w:pPr>
        <w:spacing w:after="200"/>
      </w:pPr>
    </w:p>
    <w:p>
      <w:pPr>
        <w:spacing w:after="200" w:before="36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structural health monitoring (SHM) of underground tunnels using terrestrial LiDAR remains challenging due to the presence of non-structural clutter (cables, lighting fixtures, and personnel) that contaminates raw point clouds and causes systematic errors in geometric analysis. Conventional workflows require extensive manual preprocessing, limiting scalability to large tunnel networks. This study proposes the SSL Smart Tunnel Monitoring System, an end-to-end Python-based pipeline that automates the full analysis chain from raw LiDAR ingestion to engineering-grade report generation. The proposed system introduces three principal contributions: (1) a three-stage cascaded auto-denoising algorithm combining morphological PCA-based classification, radial median-absolute-deviation (MAD) statistical filtering, and cylindrical-grid wall-cable protrusion detection that removes 82.6% of injected clutter while retaining 99.99% of tunnel lining points, without labelled training data; (2) a Frenet-frame-based cross-section extraction method using cubic B-spline centerline fitting and gravity-anchored Frenet frames that guarantees geometric orthogonality to the tunnel axis, removing an apparent ovality error of up to 15% present in axis-aligned slicing approaches; and (3) a local Retrieval-Augmented Generation (RAG) assistant powered by an on-device large language model that translates structured measurement data into engineer-readable safety assessments without transmitting data to external servers. Validation on synthetic ground-truth datasets demonstrates that the denoising cascade achieves a noise recall of 0.826 at a lining retention of 0.999, the section extraction recovers a median radius within 0.0005% of the design value on reference geometry, and the clearance detection module achieves 100% precision and recall against labelled intrusion points. The pipeline produces IFC4X3-compatible Building Information Models, professional PDF reports, and structured data outputs in compliance with Korean Railway Safety Standards (KR C-08080) and Korean Design Standards for Tunnels (KDS 27 25 00).</w:t>
      </w:r>
    </w:p>
    <w:p>
      <w:pPr>
        <w:spacing w:after="200"/>
      </w:pPr>
    </w:p>
    <w:p>
      <w:pPr>
        <w:spacing w:after="200" w:before="360" w:line="36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Underground tunnels are among the most vulnerable assets in aging transportation infrastructure. The catastrophic fire in the Frejus road tunnel (France, 2005) killed 2 people and closed the tunnel for three years; the Gleinalm Tunnel blowout (Austria, 2001) caused structural collapse during construction, halting operations indefinitely [1,2]. These failures share a common root cause: undetected lining deterioration that progressed beyond the point of safe intervention.</w:t>
      </w:r>
    </w:p>
    <w:p>
      <w:pPr>
        <w:spacing w:after="200" w:line="360"/>
        <w:jc w:val="both"/>
      </w:pPr>
      <w:r>
        <w:rPr>
          <w:rFonts w:ascii="Times New Roman" w:cs="Times New Roman" w:eastAsia="Times New Roman" w:hAnsi="Times New Roman"/>
          <w:sz w:val="24"/>
          <w:szCs w:val="24"/>
        </w:rPr>
        <w:t xml:space="preserve">Such incidents prompted regulatory bodies worldwide to mandate periodic geometric inspections. The European Union requires routine surveys for all tunnels exceeding 500 m in the trans-European road network [1]. In South Korea, the national railway network operates more than 700 tunnels with a total length exceeding 850 km, and both KR C-08080 and KDS 27 25 00 specify geometric surveys at intervals of not less than six months for tunnels in deformation-sensitive ground conditions [3,4]. The economic consequences reinforce this urgency: a single unplanned closure of a metropolitan rail tunnel in Seoul's urban network results in direct losses estimated at USD 1</w:t>
      </w:r>
      <w:r>
        <w:rPr>
          <w:rFonts w:ascii="Times New Roman" w:cs="Times New Roman" w:eastAsia="Times New Roman" w:hAnsi="Times New Roman"/>
          <w:sz w:val="24"/>
          <w:szCs w:val="24"/>
        </w:rPr>
        <w:t xml:space="preserve">–3 million per day [5]. Automated, high-accuracy structural health monitoring (SHM) of underground tunnels has therefore become a pressing engineering priority.</w:t>
      </w:r>
    </w:p>
    <w:p>
      <w:pPr>
        <w:spacing w:after="200" w:line="360"/>
        <w:jc w:val="both"/>
      </w:pPr>
      <w:r>
        <w:rPr>
          <w:rFonts w:ascii="Times New Roman" w:cs="Times New Roman" w:eastAsia="Times New Roman" w:hAnsi="Times New Roman"/>
          <w:sz w:val="24"/>
          <w:szCs w:val="24"/>
        </w:rPr>
        <w:t xml:space="preserve">Terrestrial LiDAR scanning has emerged as the dominant data acquisition technology for tunnel SHM, owing to its ability to capture full-section, sub-millimetre-resolution 3D point clouds in a single survey pass without disrupting traffic operations [6,7]. Building on this capability, researchers have developed LiDAR-based methods for specific subtasks within the inspection workflow. Jung et al. [8] extracted ovality metrics from mobile laser scanning data using iterative circle fitting, demonstrating the feasibility of automated geometric assessment. Gikas [9] extended this line of work to long-term monitoring by applying least-squares cylinder fitting to successive scans of highway tunnels during excavation. More recently, Ye et al. [10] combined 3D semantic segmentation with point cloud processing to detect surface cracks at millimetre scale, while Attard et al. [11] benchmarked five commercial software packages on tunnel inspection accuracy, reporting significant variability in results depending on preprocessing quality. However, each of these studies addresses a single subtask in isolation, and the critical preprocessing step of removing non-structural clutter from raw scans remains either manual or reliant on generic noise filters unsuited to tunnel geometry.</w:t>
      </w:r>
    </w:p>
    <w:p>
      <w:pPr>
        <w:spacing w:after="200" w:line="360"/>
        <w:jc w:val="both"/>
      </w:pPr>
      <w:r>
        <w:rPr>
          <w:rFonts w:ascii="Times New Roman" w:cs="Times New Roman" w:eastAsia="Times New Roman" w:hAnsi="Times New Roman"/>
          <w:sz w:val="24"/>
          <w:szCs w:val="24"/>
        </w:rPr>
        <w:t xml:space="preserve">Parallel advances in point cloud registration have improved multi-station co-registration to sub-millimetre RMSE under the sparse-feature conditions typical of tunnel interiors. Segal et al. [12] introduced the Generalised Iterative Closest Point (GICP) algorithm, which models local surface geometry as Gaussian distributions and achieves more robust alignment than standard ICP on planar surfaces. Yang et al. [13] further improved convergence guarantees with Go-ICP, a globally optimal solution that eliminates sensitivity to initialisation. These registration advances enable multi-epoch comparison, formalised by Lague et al. [14] through the Multiscale Model to Model Cloud Comparison (M3C2) algorithm, which derives a statistically principled Level-of-Detection (LoD) threshold at 95% confidence from local point cloud roughness. Yet translating raw M3C2 displacement maps into actionable engineering assessments still requires substantial expert interpretation, a bottleneck that Retrieval-Augmented Generation (RAG) architectures [15] have begun to address by grounding large language model (LLM) outputs in retrieved engineering standards [16,17].</w:t>
      </w:r>
    </w:p>
    <w:p>
      <w:pPr>
        <w:spacing w:after="200" w:line="360"/>
        <w:jc w:val="both"/>
      </w:pPr>
      <w:r>
        <w:rPr>
          <w:rFonts w:ascii="Times New Roman" w:cs="Times New Roman" w:eastAsia="Times New Roman" w:hAnsi="Times New Roman"/>
          <w:sz w:val="24"/>
          <w:szCs w:val="24"/>
        </w:rPr>
        <w:t xml:space="preserve">Taken together, these studies reveal three interconnected gaps that prevent deployment of a unified, production-grade inspection pipeline. The first gap concerns data quality: raw tunnel scans contain 5</w:t>
      </w:r>
      <w:r>
        <w:rPr>
          <w:rFonts w:ascii="Times New Roman" w:cs="Times New Roman" w:eastAsia="Times New Roman" w:hAnsi="Times New Roman"/>
          <w:sz w:val="24"/>
          <w:szCs w:val="24"/>
        </w:rPr>
        <w:t xml:space="preserve">–30% non-structural points from cables, lighting fixtures, survey targets, and personnel. Existing statistical outlier removal methods [18] assume random Gaussian noise and fail against the structured, elongated geometry of wall-mounted cable runs, which exhibit high linearity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₁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₂)/</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₁ ≥ 0.30) that evades purely distance-based filters. The second gap is geometric: cross-section extraction in curved tunnels requires slicing perpendicular to the local tunnel axis, yet axis-aligned (world-frame) sectioning introduces oblique cuts that systematically overestimate ovality by up to 15% in arcs with radius below 300 m. No existing open-source tool applies axis-orthogonal Frenet-frame sectioning automatically. The third gap is interpretive: translating per-section deformation metrics (crown settlement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ᵥ, lateral convergence </w:t>
      </w:r>
      <w:r>
        <w:rPr>
          <w:rFonts w:ascii="Times New Roman" w:cs="Times New Roman" w:eastAsia="Times New Roman" w:hAnsi="Times New Roman"/>
          <w:i/>
          <w:iCs/>
          <w:sz w:val="24"/>
          <w:szCs w:val="24"/>
        </w:rPr>
        <w:t xml:space="preserve">δ</w:t>
      </w:r>
      <w:r>
        <w:rPr>
          <w:rFonts w:ascii="Times New Roman" w:cs="Times New Roman" w:eastAsia="Times New Roman" w:hAnsi="Times New Roman"/>
          <w:sz w:val="24"/>
          <w:szCs w:val="24"/>
        </w:rPr>
        <w:t xml:space="preserve">ₕ, ovality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and eccentricity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into prioritised maintenance actions demands manual review by a qualified structural engineer for every report cycle, limiting monitoring frequency to what human throughput allows.</w:t>
      </w:r>
    </w:p>
    <w:p>
      <w:pPr>
        <w:spacing w:after="200" w:line="360"/>
        <w:jc w:val="both"/>
      </w:pPr>
      <w:r>
        <w:rPr>
          <w:rFonts w:ascii="Times New Roman" w:cs="Times New Roman" w:eastAsia="Times New Roman" w:hAnsi="Times New Roman"/>
          <w:sz w:val="24"/>
          <w:szCs w:val="24"/>
        </w:rPr>
        <w:t xml:space="preserve">This study proposes the SSL Smart Tunnel Monitoring System, a fully automated Python-based pipeline that addresses all three gaps within a single, standards-compliant framework. The system ingests raw multi-station scans (LAS, LAZ, PLY, TXT), applies a cascaded denoising algorithm, performs multi-scan registration through a target-based/GROR/ICP fallback chain with Trimmed ICP for deformation-safe convergence, extracts geometrically correct cross-sections via gravity-anchored Frenet frames derived from cubic B-spline (C2 continuity) centerlines, computes all KR C-08080-specified deformation metrics using Kasa circle fitting and Fitzgibbon ellipse fitting, and produces engineering-grade outputs without manual intervention. A local RAG assistant powered by an on-device LLM generates safety assessments grounded in Korean railway safety standards entirely on-device.</w:t>
      </w:r>
    </w:p>
    <w:p>
      <w:pPr>
        <w:spacing w:after="200" w:line="360"/>
        <w:jc w:val="both"/>
      </w:pPr>
      <w:r>
        <w:rPr>
          <w:rFonts w:ascii="Times New Roman" w:cs="Times New Roman" w:eastAsia="Times New Roman" w:hAnsi="Times New Roman"/>
          <w:sz w:val="24"/>
          <w:szCs w:val="24"/>
        </w:rPr>
        <w:t xml:space="preserve">The principal contributions of this study are as follows:</w:t>
      </w:r>
    </w:p>
    <w:p>
      <w:pPr>
        <w:spacing w:after="120" w:line="36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three-stage cascaded auto-denoising algorithm combining morphological PCA-based classification (k = 20 neighbours; linearity, sphericity, and planarity features), radial MAD filtering (k = 2.5, conversion factor 1.4826), and cylindrical-grid wall-cable detection (60 × 180 bins, protrusion threshold 0.05 m with axial continuity filtering). A safety guard disables any gate that flags more than 30% of points, preventing over-removal on dense datasets. Validation on synthetic ground-truth data achieves a noise recall of 0.826 while retaining 99.99% of tunnel lining points.</w:t>
      </w:r>
    </w:p>
    <w:p>
      <w:pPr>
        <w:spacing w:after="120" w:line="36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 Frenet-frame cross-section extraction method using cubic B-spline centerline fitting with per-chunk Kasa circle fitting (angular-coverage guard: arc span &gt; 220° or sector occupancy ≥ 24/36), gravity-anchored Frenet frames, and adaptive slice thickness (ε = 0.55 × median spacing, clipped to [0.05, 0.5] m). On reference geometry, the method recovers a median radius within 0.0005% of the design value (4.00002 m vs. 4.00000 m ground truth) and eliminates the systematic ovality bias introduced by world-frame slicing.</w:t>
      </w:r>
    </w:p>
    <w:p>
      <w:pPr>
        <w:spacing w:after="120" w:line="36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A local RAG-LLM engineering assistant built on ChromaDB with SentenceTransformer (all-MiniLM-L6-v2) embeddings and Ollama on-device inference (Qwen2.5:3b, temperature 0.15) that retrieves from a curated knowledge base of 15+ safety standard excerpts, generates prioritised work orders mapping flagged sections to governing standards (KR C-08080, KDS 27 25 00, ITA guidelines), and falls back to a deterministic rule-based assessment when the LLM is unavailable.</w:t>
      </w:r>
    </w:p>
    <w:p>
      <w:pPr>
        <w:spacing w:after="120" w:line="360"/>
        <w:ind w:left="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An end-to-end open-source pipeline producing IFC4X3-compatible BIM models (IfcAlignment linear referencing, status-coloured tessellated lining shells), professional PDF inspection reports (per-section cross-section plots with dimension annotations and warning action items), and structured CSV/Excel output. The clearance detection module achieves 100% precision and recall against labelled intrusion points, with a maximum detected intrusion depth of 870 mm on test cases.</w:t>
      </w:r>
    </w:p>
    <w:p>
      <w:pPr>
        <w:spacing w:after="200" w:line="360"/>
        <w:jc w:val="both"/>
      </w:pPr>
      <w:r>
        <w:rPr>
          <w:rFonts w:ascii="Times New Roman" w:cs="Times New Roman" w:eastAsia="Times New Roman" w:hAnsi="Times New Roman"/>
          <w:sz w:val="24"/>
          <w:szCs w:val="24"/>
        </w:rPr>
        <w:t xml:space="preserve">The remainder of this paper is organised as follows. Section 2 surveys related work across the four constituent domains. Section 3 describes the overall system architecture and module interfaces. Sections 4 through 8 present each processing stage in detail: the denoising cascade (Section 4), multi-scan registration (Section 5), Frenet-frame geometric analysis (Section 6), parameter extraction (Section 7), and multi-epoch change detection (Section 8). Section 9 covers the output generation modules. Section 10 reports experimental validation. Section 11 concludes with a summary and directions for future work.</w:t>
      </w:r>
    </w:p>
    <w:p>
      <w:pPr>
        <w:spacing w:after="200"/>
      </w:pPr>
    </w:p>
    <w:p>
      <w:pPr>
        <w:spacing w:after="200"/>
      </w:pPr>
    </w:p>
    <w:p>
      <w:pPr>
        <w:spacing w:after="200" w:before="360" w:line="360"/>
        <w:jc w:val="left"/>
      </w:pPr>
      <w:r>
        <w:rPr>
          <w:rFonts w:ascii="Times New Roman" w:cs="Times New Roman" w:eastAsia="Times New Roman" w:hAnsi="Times New Roman"/>
          <w:b/>
          <w:bCs/>
          <w:sz w:val="28"/>
          <w:szCs w:val="28"/>
        </w:rPr>
        <w:t xml:space="preserve">References</w:t>
      </w:r>
    </w:p>
    <w:p>
      <w:pPr>
        <w:spacing w:after="160" w:line="360"/>
        <w:ind w:left="360" w:hanging="360"/>
        <w:jc w:val="both"/>
      </w:pPr>
      <w:r>
        <w:rPr>
          <w:rFonts w:ascii="Times New Roman" w:cs="Times New Roman" w:eastAsia="Times New Roman" w:hAnsi="Times New Roman"/>
          <w:sz w:val="24"/>
          <w:szCs w:val="24"/>
        </w:rPr>
        <w:t xml:space="preserve">[1] European Commission, Directive 2004/54/EC on Minimum Safety Requirements for Tunnels in the Trans-European Road Network, Official Journal of the European Union, 2004.</w:t>
      </w:r>
    </w:p>
    <w:p>
      <w:pPr>
        <w:spacing w:after="160" w:line="360"/>
        <w:ind w:left="360" w:hanging="360"/>
        <w:jc w:val="both"/>
      </w:pPr>
      <w:r>
        <w:rPr>
          <w:rFonts w:ascii="Times New Roman" w:cs="Times New Roman" w:eastAsia="Times New Roman" w:hAnsi="Times New Roman"/>
          <w:sz w:val="24"/>
          <w:szCs w:val="24"/>
        </w:rPr>
        <w:t xml:space="preserve">[2] P. Carvel, A. Beard, Eds., The Handbook of Tunnel Fire Safety, 2nd ed. Thomas Telford, London, 2012.</w:t>
      </w:r>
    </w:p>
    <w:p>
      <w:pPr>
        <w:spacing w:after="160" w:line="360"/>
        <w:ind w:left="360" w:hanging="360"/>
        <w:jc w:val="both"/>
      </w:pPr>
      <w:r>
        <w:rPr>
          <w:rFonts w:ascii="Times New Roman" w:cs="Times New Roman" w:eastAsia="Times New Roman" w:hAnsi="Times New Roman"/>
          <w:sz w:val="24"/>
          <w:szCs w:val="24"/>
        </w:rPr>
        <w:t xml:space="preserve">[3] Ministry of Land, Infrastructure and Transport, Korean Railway Safety Standards KR C-08080, Korea National Railway, Seoul, 2020.</w:t>
      </w:r>
    </w:p>
    <w:p>
      <w:pPr>
        <w:spacing w:after="160" w:line="360"/>
        <w:ind w:left="360" w:hanging="360"/>
        <w:jc w:val="both"/>
      </w:pPr>
      <w:r>
        <w:rPr>
          <w:rFonts w:ascii="Times New Roman" w:cs="Times New Roman" w:eastAsia="Times New Roman" w:hAnsi="Times New Roman"/>
          <w:sz w:val="24"/>
          <w:szCs w:val="24"/>
        </w:rPr>
        <w:t xml:space="preserve">[4] Ministry of Land, Infrastructure and Transport, Korean Design Standard for Tunnels KDS 27 25 00, Seoul, 2021.</w:t>
      </w:r>
    </w:p>
    <w:p>
      <w:pPr>
        <w:spacing w:after="160" w:line="360"/>
        <w:ind w:left="360" w:hanging="360"/>
        <w:jc w:val="both"/>
      </w:pPr>
      <w:r>
        <w:rPr>
          <w:rFonts w:ascii="Times New Roman" w:cs="Times New Roman" w:eastAsia="Times New Roman" w:hAnsi="Times New Roman"/>
          <w:sz w:val="24"/>
          <w:szCs w:val="24"/>
        </w:rPr>
        <w:t xml:space="preserve">[5] Korea Infrastructure Safety Corporation (KISTEC), Annual Infrastructure Safety Report, Seoul, 2023.</w:t>
      </w:r>
    </w:p>
    <w:p>
      <w:pPr>
        <w:spacing w:after="160" w:line="360"/>
        <w:ind w:left="360" w:hanging="360"/>
        <w:jc w:val="both"/>
      </w:pPr>
      <w:r>
        <w:rPr>
          <w:rFonts w:ascii="Times New Roman" w:cs="Times New Roman" w:eastAsia="Times New Roman" w:hAnsi="Times New Roman"/>
          <w:sz w:val="24"/>
          <w:szCs w:val="24"/>
        </w:rPr>
        <w:t xml:space="preserve">[6] M. Alba, L. Fregonese, F. Prandi, M. Scaioni, P. Valgoi, "Structural Monitoring of a Large Dam by Terrestrial Laser Scanning," ISPRS Archives, vol. XXXVI-5, 2006.</w:t>
      </w:r>
    </w:p>
    <w:p>
      <w:pPr>
        <w:spacing w:after="160" w:line="360"/>
        <w:ind w:left="360" w:hanging="360"/>
        <w:jc w:val="both"/>
      </w:pPr>
      <w:r>
        <w:rPr>
          <w:rFonts w:ascii="Times New Roman" w:cs="Times New Roman" w:eastAsia="Times New Roman" w:hAnsi="Times New Roman"/>
          <w:sz w:val="24"/>
          <w:szCs w:val="24"/>
        </w:rPr>
        <w:t xml:space="preserve">[7] A. Nuttens, A. De Wulf, L. Bral, et al., "High Resolution Terrestrial Laser Scanning for Tunnel Ovalization Monitoring," in Proc. FIG Working Week, 2010.</w:t>
      </w:r>
    </w:p>
    <w:p>
      <w:pPr>
        <w:spacing w:after="160" w:line="360"/>
        <w:ind w:left="360" w:hanging="360"/>
        <w:jc w:val="both"/>
      </w:pPr>
      <w:r>
        <w:rPr>
          <w:rFonts w:ascii="Times New Roman" w:cs="Times New Roman" w:eastAsia="Times New Roman" w:hAnsi="Times New Roman"/>
          <w:sz w:val="24"/>
          <w:szCs w:val="24"/>
        </w:rPr>
        <w:t xml:space="preserve">[8] J. Jung, S. Kim, Y. Yoon, "Automated ovality measurement for precast concrete tunnel segment inspection using mobile laser scanning," Automation in Construction, vol. 121, p. 103424, 2021.</w:t>
      </w:r>
    </w:p>
    <w:p>
      <w:pPr>
        <w:spacing w:after="160" w:line="360"/>
        <w:ind w:left="360" w:hanging="360"/>
        <w:jc w:val="both"/>
      </w:pPr>
      <w:r>
        <w:rPr>
          <w:rFonts w:ascii="Times New Roman" w:cs="Times New Roman" w:eastAsia="Times New Roman" w:hAnsi="Times New Roman"/>
          <w:sz w:val="24"/>
          <w:szCs w:val="24"/>
        </w:rPr>
        <w:t xml:space="preserve">[9] V. Gikas, "Three-Dimensional Laser Scanning for Geometry Documentation and Construction Management of Highway Tunnels during Excavation," Sensors, vol. 12, no. 8, pp. 10827–10843, 2012.</w:t>
      </w:r>
    </w:p>
    <w:p>
      <w:pPr>
        <w:spacing w:after="160" w:line="360"/>
        <w:ind w:left="360" w:hanging="360"/>
        <w:jc w:val="both"/>
      </w:pPr>
      <w:r>
        <w:rPr>
          <w:rFonts w:ascii="Times New Roman" w:cs="Times New Roman" w:eastAsia="Times New Roman" w:hAnsi="Times New Roman"/>
          <w:sz w:val="24"/>
          <w:szCs w:val="24"/>
        </w:rPr>
        <w:t xml:space="preserve">[10] X. Ye, J. Liu, L. Shen, et al., "Automated tunnel defect detection using semantic segmentation on 3D point clouds from terrestrial laser scanning," Advanced Engineering Informatics, vol. 55, p. 101874, 2023.</w:t>
      </w:r>
    </w:p>
    <w:p>
      <w:pPr>
        <w:spacing w:after="160" w:line="360"/>
        <w:ind w:left="360" w:hanging="360"/>
        <w:jc w:val="both"/>
      </w:pPr>
      <w:r>
        <w:rPr>
          <w:rFonts w:ascii="Times New Roman" w:cs="Times New Roman" w:eastAsia="Times New Roman" w:hAnsi="Times New Roman"/>
          <w:sz w:val="24"/>
          <w:szCs w:val="24"/>
        </w:rPr>
        <w:t xml:space="preserve">[11] L. Attard, C. J. Debono, G. Valentino, M. Di Castro, "Tunnel inspection using photogrammetric techniques and image processing: a review," ISPRS Journal of Photogrammetry and Remote Sensing, vol. 144, pp. 180–188, 2018.</w:t>
      </w:r>
    </w:p>
    <w:p>
      <w:pPr>
        <w:spacing w:after="160" w:line="360"/>
        <w:ind w:left="360" w:hanging="360"/>
        <w:jc w:val="both"/>
      </w:pPr>
      <w:r>
        <w:rPr>
          <w:rFonts w:ascii="Times New Roman" w:cs="Times New Roman" w:eastAsia="Times New Roman" w:hAnsi="Times New Roman"/>
          <w:sz w:val="24"/>
          <w:szCs w:val="24"/>
        </w:rPr>
        <w:t xml:space="preserve">[12] A. Segal, D. Haehnel, S. Thrun, "Generalized-ICP," in Proc. Robotics: Science and Systems (RSS), Seattle, WA, 2009.</w:t>
      </w:r>
    </w:p>
    <w:p>
      <w:pPr>
        <w:spacing w:after="160" w:line="360"/>
        <w:ind w:left="360" w:hanging="360"/>
        <w:jc w:val="both"/>
      </w:pPr>
      <w:r>
        <w:rPr>
          <w:rFonts w:ascii="Times New Roman" w:cs="Times New Roman" w:eastAsia="Times New Roman" w:hAnsi="Times New Roman"/>
          <w:sz w:val="24"/>
          <w:szCs w:val="24"/>
        </w:rPr>
        <w:t xml:space="preserve">[13] J. Yang, H. Li, D. Campbell, Y. Jia, "Go-ICP: A Globally Optimal Solution to 3D ICP Point-Set Registration," IEEE Transactions on Pattern Analysis and Machine Intelligence, vol. 38, no. 11, pp. 2241–2254, 2016.</w:t>
      </w:r>
    </w:p>
    <w:p>
      <w:pPr>
        <w:spacing w:after="160" w:line="360"/>
        <w:ind w:left="360" w:hanging="360"/>
        <w:jc w:val="both"/>
      </w:pPr>
      <w:r>
        <w:rPr>
          <w:rFonts w:ascii="Times New Roman" w:cs="Times New Roman" w:eastAsia="Times New Roman" w:hAnsi="Times New Roman"/>
          <w:sz w:val="24"/>
          <w:szCs w:val="24"/>
        </w:rPr>
        <w:t xml:space="preserve">[14] D. Lague, N. Brodu, J. Leroux, "Accurate 3D comparison of complex topography with terrestrial laser scanner: application to the Rangitikei canyon (N-Z)," ISPRS Journal of Photogrammetry and Remote Sensing, vol. 82, pp. 171–184, 2013.</w:t>
      </w:r>
    </w:p>
    <w:p>
      <w:pPr>
        <w:spacing w:after="160" w:line="360"/>
        <w:ind w:left="360" w:hanging="360"/>
        <w:jc w:val="both"/>
      </w:pPr>
      <w:r>
        <w:rPr>
          <w:rFonts w:ascii="Times New Roman" w:cs="Times New Roman" w:eastAsia="Times New Roman" w:hAnsi="Times New Roman"/>
          <w:sz w:val="24"/>
          <w:szCs w:val="24"/>
        </w:rPr>
        <w:t xml:space="preserve">[15] P. Lewis, E. Perez, A. Piktus, et al., "Retrieval-Augmented Generation for Knowledge-Intensive NLP Tasks," in Proc. NeurIPS, 2020.</w:t>
      </w:r>
    </w:p>
    <w:p>
      <w:pPr>
        <w:spacing w:after="160" w:line="360"/>
        <w:ind w:left="360" w:hanging="360"/>
        <w:jc w:val="both"/>
      </w:pPr>
      <w:r>
        <w:rPr>
          <w:rFonts w:ascii="Times New Roman" w:cs="Times New Roman" w:eastAsia="Times New Roman" w:hAnsi="Times New Roman"/>
          <w:sz w:val="24"/>
          <w:szCs w:val="24"/>
        </w:rPr>
        <w:t xml:space="preserve">[16] X. Jiang, Y. Li, W. Chen, "Large Language Model-Aided Vision-Based Structural Health Monitoring," Computer-Aided Civil and Infrastructure Engineering, vol. 39, no. 12, pp. 1888–1905, 2024.</w:t>
      </w:r>
    </w:p>
    <w:p>
      <w:pPr>
        <w:spacing w:after="160" w:line="360"/>
        <w:ind w:left="360" w:hanging="360"/>
        <w:jc w:val="both"/>
      </w:pPr>
      <w:r>
        <w:rPr>
          <w:rFonts w:ascii="Times New Roman" w:cs="Times New Roman" w:eastAsia="Times New Roman" w:hAnsi="Times New Roman"/>
          <w:sz w:val="24"/>
          <w:szCs w:val="24"/>
        </w:rPr>
        <w:t xml:space="preserve">[17] Y. Zheng, Q. Liu, H. Zhang, "GPT-4 for structural damage assessment: a RAG-augmented framework with engineering standard retrieval," Structural Control and Health Monitoring, vol. 30, e3251, 2024.</w:t>
      </w:r>
    </w:p>
    <w:p>
      <w:pPr>
        <w:spacing w:after="160" w:line="360"/>
        <w:ind w:left="360" w:hanging="360"/>
        <w:jc w:val="both"/>
      </w:pPr>
      <w:r>
        <w:rPr>
          <w:rFonts w:ascii="Times New Roman" w:cs="Times New Roman" w:eastAsia="Times New Roman" w:hAnsi="Times New Roman"/>
          <w:sz w:val="24"/>
          <w:szCs w:val="24"/>
        </w:rPr>
        <w:t xml:space="preserve">[18] R. B. Rusu, Z. C. Marton, N. Blodow, M. Beetz, "Towards 3D Point Cloud Based Object Maps for Household Environments," Robotics and Autonomous Systems, vol. 56, no. 11, pp. 927–941,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2026-06-12T06:44:20.338Z</dcterms:created>
  <dcterms:modified xsi:type="dcterms:W3CDTF">2026-06-12T06:44:20.339Z</dcterms:modified>
</cp:coreProperties>
</file>

<file path=docProps/custom.xml><?xml version="1.0" encoding="utf-8"?>
<Properties xmlns="http://schemas.openxmlformats.org/officeDocument/2006/custom-properties" xmlns:vt="http://schemas.openxmlformats.org/officeDocument/2006/docPropsVTypes"/>
</file>