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olor w:val="000000"/>
          <w:sz w:val="28"/>
        </w:rPr>
        <w:t>SSL Smart Tunnel Monitoring System: An Automated LiDAR-Based Point Cloud Processing Pipeline for Structural Health Assessment</w:t>
      </w:r>
    </w:p>
    <w:p>
      <w:pPr>
        <w:jc w:val="center"/>
      </w:pPr>
      <w:r>
        <w:rPr>
          <w:rFonts w:ascii="Times New Roman" w:hAnsi="Times New Roman"/>
          <w:b/>
          <w:i w:val="0"/>
          <w:sz w:val="22"/>
        </w:rPr>
        <w:t>Nguyen Duy Hoang Anh</w:t>
      </w:r>
    </w:p>
    <w:p>
      <w:pPr>
        <w:jc w:val="center"/>
      </w:pPr>
      <w:r>
        <w:rPr>
          <w:rFonts w:ascii="Times New Roman" w:hAnsi="Times New Roman"/>
          <w:b w:val="0"/>
          <w:i/>
          <w:sz w:val="20"/>
        </w:rPr>
        <w:t>[University / Department]  |  June 2026</w:t>
      </w:r>
    </w:p>
    <w:p/>
    <w:p>
      <w:r>
        <w:rPr>
          <w:sz w:val="12"/>
        </w:rPr>
        <w:t>────────────────────────────────────────────────────────────</w:t>
      </w:r>
    </w:p>
    <w:p>
      <w:pPr>
        <w:pStyle w:val="Heading1"/>
        <w:jc w:val="left"/>
      </w:pPr>
      <w:r>
        <w:rPr>
          <w:rFonts w:ascii="Times New Roman" w:hAnsi="Times New Roman"/>
          <w:color w:val="000000"/>
          <w:sz w:val="24"/>
        </w:rPr>
        <w:t>Abstract</w:t>
      </w:r>
    </w:p>
    <w:p>
      <w:pPr>
        <w:spacing w:after="80" w:before="40"/>
      </w:pPr>
      <w:r>
        <w:rPr>
          <w:rFonts w:ascii="Times New Roman" w:hAnsi="Times New Roman"/>
          <w:b w:val="0"/>
          <w:i w:val="0"/>
          <w:sz w:val="20"/>
        </w:rPr>
        <w:t>This paper presents the SSL Smart Tunnel Monitoring System, an end-to-end software pipeline for automated structural health monitoring (SHM) of underground tunnels using terrestrial LiDAR point clouds. The system implements a seven-stage processing pipeline — ranging from multi-format data ingestion to BIM-compatible export — with a focus on eliminating manual intervention in point cloud preparation and deformation analysis. Key contributions include: (1) a three-stage semantic auto-denoising algorithm that removes non-structural clutter (cables, lighting fixtures, personnel) without labeled training data; (2) a Frenet-frame-based cross-section extraction that eliminates apparent ovality errors caused by oblique sectioning; (3) automated multi-epoch change detection using M3C2 signed distances with Level-of-Detection thresholding; and (4) integration of a local Retrieval-Augmented Generation (RAG) assistant powered by an on-device large language model for engineer-assisted decision support. Experimental validation on real tunnel scan datasets demonstrates that the pipeline produces per-section deformation metrics — crown settlement, lateral convergence, ovality, and eccentricity — in compliance with Korean Railway Safety Standards (KR C-08080) and Korean Design Standards for Tunnels (KDS 27 25 00).</w:t>
      </w:r>
    </w:p>
    <w:p>
      <w:pPr>
        <w:spacing w:after="80" w:before="40"/>
      </w:pPr>
      <w:r>
        <w:rPr>
          <w:rFonts w:ascii="Times New Roman" w:hAnsi="Times New Roman"/>
          <w:b w:val="0"/>
          <w:i w:val="0"/>
          <w:sz w:val="20"/>
        </w:rPr>
      </w:r>
      <w:r>
        <w:rPr>
          <w:rFonts w:ascii="Times New Roman" w:hAnsi="Times New Roman"/>
          <w:b/>
          <w:i w:val="0"/>
          <w:sz w:val="20"/>
        </w:rPr>
        <w:t>Keywords:</w:t>
      </w:r>
      <w:r>
        <w:rPr>
          <w:rFonts w:ascii="Times New Roman" w:hAnsi="Times New Roman"/>
          <w:b w:val="0"/>
          <w:i w:val="0"/>
          <w:sz w:val="20"/>
        </w:rPr>
        <w:t xml:space="preserve"> LiDAR, point cloud, tunnel SHM, ICP registration, M3C2, centerline extraction, Frenet frame, BIM, IFC4X3, RAG, local LLM</w:t>
      </w:r>
    </w:p>
    <w:p>
      <w:r>
        <w:rPr>
          <w:sz w:val="12"/>
        </w:rPr>
        <w:t>────────────────────────────────────────────────────────────</w:t>
      </w:r>
    </w:p>
    <w:p>
      <w:pPr>
        <w:pStyle w:val="Heading1"/>
        <w:jc w:val="left"/>
      </w:pPr>
      <w:r>
        <w:rPr>
          <w:rFonts w:ascii="Times New Roman" w:hAnsi="Times New Roman"/>
          <w:color w:val="000000"/>
          <w:sz w:val="24"/>
        </w:rPr>
        <w:t>I. Introduction</w:t>
      </w:r>
    </w:p>
    <w:p>
      <w:pPr>
        <w:spacing w:after="80" w:before="40"/>
      </w:pPr>
      <w:r>
        <w:rPr>
          <w:rFonts w:ascii="Times New Roman" w:hAnsi="Times New Roman"/>
          <w:b w:val="0"/>
          <w:i w:val="0"/>
          <w:sz w:val="20"/>
        </w:rPr>
        <w:t>Tunnel structural health monitoring is a safety-critical task requiring periodic geometric inspection of underground infrastructure. Traditional methods rely on manual tape measurements or total station surveys — time-consuming, low-density, and operator-dependent. Terrestrial LiDAR scanning provides full-coverage, millimetre-precision 3D point clouds in a fraction of the time, but introduces challenges: raw scans contain millions of non-structural points (cables, personnel, equipment), multi-station scans require precise co-registration, and extracting engineering-meaningful metrics demands robust geometric modelling.</w:t>
      </w:r>
    </w:p>
    <w:p>
      <w:pPr>
        <w:spacing w:after="80" w:before="40"/>
      </w:pPr>
      <w:r>
        <w:rPr>
          <w:rFonts w:ascii="Times New Roman" w:hAnsi="Times New Roman"/>
          <w:b w:val="0"/>
          <w:i w:val="0"/>
          <w:sz w:val="20"/>
        </w:rPr>
        <w:t>Existing commercial software (Leica Cyclone 3DR, SCENE, Trimble RealWorks) addresses these challenges with proprietary workflows that lack transparency, extensibility, and integration with modern AI tools. Open-source alternatives exist for individual subtasks (CloudCompare for M3C2, Open3D for ICP) but do not provide a unified, automated pipeline from raw scan to engineering report.</w:t>
      </w:r>
    </w:p>
    <w:p>
      <w:pPr>
        <w:spacing w:after="80" w:before="40"/>
      </w:pPr>
      <w:r>
        <w:rPr>
          <w:rFonts w:ascii="Times New Roman" w:hAnsi="Times New Roman"/>
          <w:b w:val="0"/>
          <w:i w:val="0"/>
          <w:sz w:val="20"/>
        </w:rPr>
        <w:t>This paper describes the design and implementation of SSL Smart Tunnel Monitoring System — a fully open, Python-based pipeline that automates the full analysis workflow. The system is designed for the Korean railway context (KR C-08080, KDS 27 25 00, NATM guidelines) but is configurable for other standards.</w:t>
      </w:r>
    </w:p>
    <w:p>
      <w:r>
        <w:rPr>
          <w:sz w:val="12"/>
        </w:rPr>
        <w:t>────────────────────────────────────────────────────────────</w:t>
      </w:r>
    </w:p>
    <w:p>
      <w:pPr>
        <w:pStyle w:val="Heading1"/>
        <w:jc w:val="left"/>
      </w:pPr>
      <w:r>
        <w:rPr>
          <w:rFonts w:ascii="Times New Roman" w:hAnsi="Times New Roman"/>
          <w:color w:val="000000"/>
          <w:sz w:val="24"/>
        </w:rPr>
        <w:t>II. System Architecture</w:t>
      </w:r>
    </w:p>
    <w:p>
      <w:pPr>
        <w:spacing w:after="80" w:before="40"/>
      </w:pPr>
      <w:r>
        <w:rPr>
          <w:rFonts w:ascii="Times New Roman" w:hAnsi="Times New Roman"/>
          <w:b w:val="0"/>
          <w:i w:val="0"/>
          <w:sz w:val="20"/>
        </w:rPr>
        <w:t xml:space="preserve">The pipeline is organised into seven sequential stages, each implemented as an independent Python module with a well-defined interface via the </w:t>
      </w:r>
      <w:r>
        <w:rPr>
          <w:rFonts w:ascii="Courier New" w:hAnsi="Courier New"/>
          <w:sz w:val="18"/>
        </w:rPr>
        <w:t>PipelineContext</w:t>
      </w:r>
      <w:r>
        <w:rPr>
          <w:rFonts w:ascii="Times New Roman" w:hAnsi="Times New Roman"/>
          <w:b w:val="0"/>
          <w:i w:val="0"/>
          <w:sz w:val="20"/>
        </w:rPr>
        <w:t xml:space="preserve"> state container.</w:t>
      </w:r>
    </w:p>
    <w:p>
      <w:pPr>
        <w:spacing w:before="40" w:after="40"/>
        <w:ind w:left="576"/>
      </w:pPr>
      <w:r>
        <w:rPr>
          <w:rFonts w:ascii="Courier New" w:hAnsi="Courier New"/>
          <w:sz w:val="17"/>
        </w:rPr>
        <w:t>Input (LAS/LAZ/PLY/TXT)</w:t>
      </w:r>
    </w:p>
    <w:p>
      <w:pPr>
        <w:spacing w:before="40" w:after="40"/>
        <w:ind w:left="576"/>
      </w:pPr>
      <w:r>
        <w:rPr>
          <w:rFonts w:ascii="Courier New" w:hAnsi="Courier New"/>
          <w:sz w:val="17"/>
        </w:rPr>
        <w:t xml:space="preserve">        │</w:t>
      </w:r>
    </w:p>
    <w:p>
      <w:pPr>
        <w:spacing w:before="40" w:after="40"/>
        <w:ind w:left="576"/>
      </w:pPr>
      <w:r>
        <w:rPr>
          <w:rFonts w:ascii="Courier New" w:hAnsi="Courier New"/>
          <w:sz w:val="17"/>
        </w:rPr>
        <w:t xml:space="preserve">        ▼</w:t>
      </w:r>
    </w:p>
    <w:p>
      <w:pPr>
        <w:spacing w:before="40" w:after="40"/>
        <w:ind w:left="576"/>
      </w:pPr>
      <w:r>
        <w:rPr>
          <w:rFonts w:ascii="Courier New" w:hAnsi="Courier New"/>
          <w:sz w:val="17"/>
        </w:rPr>
        <w:t>Stage 1: Preprocessing      (PreprocessingLayer)</w:t>
      </w:r>
    </w:p>
    <w:p>
      <w:pPr>
        <w:spacing w:before="40" w:after="40"/>
        <w:ind w:left="576"/>
      </w:pPr>
      <w:r>
        <w:rPr>
          <w:rFonts w:ascii="Courier New" w:hAnsi="Courier New"/>
          <w:sz w:val="17"/>
        </w:rPr>
        <w:t>Stage 2: Registration       (RegistrationLayer)</w:t>
      </w:r>
    </w:p>
    <w:p>
      <w:pPr>
        <w:spacing w:before="40" w:after="40"/>
        <w:ind w:left="576"/>
      </w:pPr>
      <w:r>
        <w:rPr>
          <w:rFonts w:ascii="Courier New" w:hAnsi="Courier New"/>
          <w:sz w:val="17"/>
        </w:rPr>
        <w:t>Stage 3: Geometry           (GeometricLayer)</w:t>
      </w:r>
    </w:p>
    <w:p>
      <w:pPr>
        <w:spacing w:before="40" w:after="40"/>
        <w:ind w:left="576"/>
      </w:pPr>
      <w:r>
        <w:rPr>
          <w:rFonts w:ascii="Courier New" w:hAnsi="Courier New"/>
          <w:sz w:val="17"/>
        </w:rPr>
        <w:t>Stage 4: Segmentation       (SegmentationLayer)</w:t>
      </w:r>
    </w:p>
    <w:p>
      <w:pPr>
        <w:spacing w:before="40" w:after="40"/>
        <w:ind w:left="576"/>
      </w:pPr>
      <w:r>
        <w:rPr>
          <w:rFonts w:ascii="Courier New" w:hAnsi="Courier New"/>
          <w:sz w:val="17"/>
        </w:rPr>
        <w:t>Stage 5: Parameters         (ParameterExtractionLayer)</w:t>
      </w:r>
    </w:p>
    <w:p>
      <w:pPr>
        <w:spacing w:before="40" w:after="40"/>
        <w:ind w:left="576"/>
      </w:pPr>
      <w:r>
        <w:rPr>
          <w:rFonts w:ascii="Courier New" w:hAnsi="Courier New"/>
          <w:sz w:val="17"/>
        </w:rPr>
        <w:t>Stage 6: Time-Series        (TimeSeriesLayer)</w:t>
      </w:r>
    </w:p>
    <w:p>
      <w:pPr>
        <w:spacing w:before="40" w:after="40"/>
        <w:ind w:left="576"/>
      </w:pPr>
      <w:r>
        <w:rPr>
          <w:rFonts w:ascii="Courier New" w:hAnsi="Courier New"/>
          <w:sz w:val="17"/>
        </w:rPr>
        <w:t>Stage 7: Export             (Exporter / IFCExporter / PDFReporter)</w:t>
      </w:r>
    </w:p>
    <w:p>
      <w:pPr>
        <w:spacing w:before="40" w:after="40"/>
        <w:ind w:left="576"/>
      </w:pPr>
      <w:r>
        <w:rPr>
          <w:rFonts w:ascii="Courier New" w:hAnsi="Courier New"/>
          <w:sz w:val="17"/>
        </w:rPr>
        <w:t xml:space="preserve">        │</w:t>
      </w:r>
    </w:p>
    <w:p>
      <w:pPr>
        <w:spacing w:before="40" w:after="40"/>
        <w:ind w:left="576"/>
      </w:pPr>
      <w:r>
        <w:rPr>
          <w:rFonts w:ascii="Courier New" w:hAnsi="Courier New"/>
          <w:sz w:val="17"/>
        </w:rPr>
        <w:t xml:space="preserve">        ▼</w:t>
      </w:r>
    </w:p>
    <w:p>
      <w:pPr>
        <w:spacing w:before="40" w:after="40"/>
        <w:ind w:left="576"/>
      </w:pPr>
      <w:r>
        <w:rPr>
          <w:rFonts w:ascii="Courier New" w:hAnsi="Courier New"/>
          <w:sz w:val="17"/>
        </w:rPr>
        <w:t>Output: CSV · Excel · PDF · IFC4X3</w:t>
      </w:r>
    </w:p>
    <w:p/>
    <w:p>
      <w:pPr>
        <w:spacing w:after="80" w:before="40"/>
      </w:pPr>
      <w:r>
        <w:rPr>
          <w:rFonts w:ascii="Times New Roman" w:hAnsi="Times New Roman"/>
          <w:b w:val="0"/>
          <w:i w:val="0"/>
          <w:sz w:val="20"/>
        </w:rPr>
        <w:t xml:space="preserve">A </w:t>
      </w:r>
      <w:r>
        <w:rPr>
          <w:rFonts w:ascii="Courier New" w:hAnsi="Courier New"/>
          <w:sz w:val="18"/>
        </w:rPr>
        <w:t>PipelineContext</w:t>
      </w:r>
      <w:r>
        <w:rPr>
          <w:rFonts w:ascii="Times New Roman" w:hAnsi="Times New Roman"/>
          <w:b w:val="0"/>
          <w:i w:val="0"/>
          <w:sz w:val="20"/>
        </w:rPr>
        <w:t xml:space="preserve"> object propagates state between stages, storing raw scans, registered point clouds, computed centerlines, Frenet frames, and per-section </w:t>
      </w:r>
      <w:r>
        <w:rPr>
          <w:rFonts w:ascii="Courier New" w:hAnsi="Courier New"/>
          <w:sz w:val="18"/>
        </w:rPr>
        <w:t>SectionGeometry</w:t>
      </w:r>
      <w:r>
        <w:rPr>
          <w:rFonts w:ascii="Times New Roman" w:hAnsi="Times New Roman"/>
          <w:b w:val="0"/>
          <w:i w:val="0"/>
          <w:sz w:val="20"/>
        </w:rPr>
        <w:t xml:space="preserve"> instances. This design allows any stage to be skipped or replaced without disrupting downstream modules.</w:t>
      </w:r>
    </w:p>
    <w:p>
      <w:r>
        <w:rPr>
          <w:sz w:val="12"/>
        </w:rPr>
        <w:t>────────────────────────────────────────────────────────────</w:t>
      </w:r>
    </w:p>
    <w:p>
      <w:pPr>
        <w:pStyle w:val="Heading1"/>
        <w:jc w:val="left"/>
      </w:pPr>
      <w:r>
        <w:rPr>
          <w:rFonts w:ascii="Times New Roman" w:hAnsi="Times New Roman"/>
          <w:color w:val="000000"/>
          <w:sz w:val="24"/>
        </w:rPr>
        <w:t>III. Data Ingestion</w:t>
      </w:r>
    </w:p>
    <w:p>
      <w:pPr>
        <w:pStyle w:val="Heading2"/>
        <w:jc w:val="left"/>
      </w:pPr>
      <w:r>
        <w:rPr>
          <w:rFonts w:ascii="Times New Roman" w:hAnsi="Times New Roman"/>
          <w:color w:val="000000"/>
          <w:sz w:val="22"/>
        </w:rPr>
        <w:t>A. Supported Formats</w:t>
      </w:r>
    </w:p>
    <w:p>
      <w:pPr>
        <w:spacing w:after="80" w:before="40"/>
      </w:pPr>
      <w:r>
        <w:rPr>
          <w:rFonts w:ascii="Times New Roman" w:hAnsi="Times New Roman"/>
          <w:b w:val="0"/>
          <w:i w:val="0"/>
          <w:sz w:val="20"/>
        </w:rPr>
        <w:t xml:space="preserve">The </w:t>
      </w:r>
      <w:r>
        <w:rPr>
          <w:rFonts w:ascii="Courier New" w:hAnsi="Courier New"/>
          <w:sz w:val="18"/>
        </w:rPr>
        <w:t>io_layer.py</w:t>
      </w:r>
      <w:r>
        <w:rPr>
          <w:rFonts w:ascii="Times New Roman" w:hAnsi="Times New Roman"/>
          <w:b w:val="0"/>
          <w:i w:val="0"/>
          <w:sz w:val="20"/>
        </w:rPr>
        <w:t xml:space="preserve"> module supports LAS/LAZ (via </w:t>
      </w:r>
      <w:r>
        <w:rPr>
          <w:rFonts w:ascii="Courier New" w:hAnsi="Courier New"/>
          <w:sz w:val="18"/>
        </w:rPr>
        <w:t>laspy</w:t>
      </w:r>
      <w:r>
        <w:rPr>
          <w:rFonts w:ascii="Times New Roman" w:hAnsi="Times New Roman"/>
          <w:b w:val="0"/>
          <w:i w:val="0"/>
          <w:sz w:val="20"/>
        </w:rPr>
        <w:t xml:space="preserve">), PLY (ASCII and binary), and delimited text formats (TXT, XYZ, CSV, ASC). Each file is loaded into a </w:t>
      </w:r>
      <w:r>
        <w:rPr>
          <w:rFonts w:ascii="Courier New" w:hAnsi="Courier New"/>
          <w:sz w:val="18"/>
        </w:rPr>
        <w:t>PointCloudBundle</w:t>
      </w:r>
      <w:r>
        <w:rPr>
          <w:rFonts w:ascii="Times New Roman" w:hAnsi="Times New Roman"/>
          <w:b w:val="0"/>
          <w:i w:val="0"/>
          <w:sz w:val="20"/>
        </w:rPr>
        <w:t xml:space="preserve"> containing:</w:t>
      </w:r>
    </w:p>
    <w:p>
      <w:pPr>
        <w:pStyle w:val="ListBullet"/>
        <w:ind w:left="432"/>
      </w:pPr>
      <w:r>
        <w:rPr>
          <w:rFonts w:ascii="Times New Roman" w:hAnsi="Times New Roman"/>
          <w:b w:val="0"/>
          <w:i w:val="0"/>
          <w:sz w:val="20"/>
        </w:rPr>
      </w:r>
      <w:r>
        <w:rPr>
          <w:rFonts w:ascii="Times New Roman" w:hAnsi="Times New Roman"/>
          <w:b/>
          <w:i w:val="0"/>
          <w:sz w:val="20"/>
        </w:rPr>
        <w:t>Points</w:t>
      </w:r>
      <w:r>
        <w:rPr>
          <w:rFonts w:ascii="Times New Roman" w:hAnsi="Times New Roman"/>
          <w:b w:val="0"/>
          <w:i w:val="0"/>
          <w:sz w:val="20"/>
        </w:rPr>
        <w:t>: N×3 float64 array (XYZ, metric)</w:t>
      </w:r>
    </w:p>
    <w:p>
      <w:pPr>
        <w:pStyle w:val="ListBullet"/>
        <w:ind w:left="432"/>
      </w:pPr>
      <w:r>
        <w:rPr>
          <w:rFonts w:ascii="Times New Roman" w:hAnsi="Times New Roman"/>
          <w:b w:val="0"/>
          <w:i w:val="0"/>
          <w:sz w:val="20"/>
        </w:rPr>
      </w:r>
      <w:r>
        <w:rPr>
          <w:rFonts w:ascii="Times New Roman" w:hAnsi="Times New Roman"/>
          <w:b/>
          <w:i w:val="0"/>
          <w:sz w:val="20"/>
        </w:rPr>
        <w:t>Intensity</w:t>
      </w:r>
      <w:r>
        <w:rPr>
          <w:rFonts w:ascii="Times New Roman" w:hAnsi="Times New Roman"/>
          <w:b w:val="0"/>
          <w:i w:val="0"/>
          <w:sz w:val="20"/>
        </w:rPr>
        <w:t>: Optional N-length uint16 array (0–65535 laser reflectance)</w:t>
      </w:r>
    </w:p>
    <w:p>
      <w:pPr>
        <w:pStyle w:val="ListBullet"/>
        <w:ind w:left="432"/>
      </w:pPr>
      <w:r>
        <w:rPr>
          <w:rFonts w:ascii="Times New Roman" w:hAnsi="Times New Roman"/>
          <w:b w:val="0"/>
          <w:i w:val="0"/>
          <w:sz w:val="20"/>
        </w:rPr>
      </w:r>
      <w:r>
        <w:rPr>
          <w:rFonts w:ascii="Times New Roman" w:hAnsi="Times New Roman"/>
          <w:b/>
          <w:i w:val="0"/>
          <w:sz w:val="20"/>
        </w:rPr>
        <w:t>Colors</w:t>
      </w:r>
      <w:r>
        <w:rPr>
          <w:rFonts w:ascii="Times New Roman" w:hAnsi="Times New Roman"/>
          <w:b w:val="0"/>
          <w:i w:val="0"/>
          <w:sz w:val="20"/>
        </w:rPr>
        <w:t>: Optional N×3 uint8 RGB array</w:t>
      </w:r>
    </w:p>
    <w:p>
      <w:pPr>
        <w:pStyle w:val="ListBullet"/>
        <w:ind w:left="432"/>
      </w:pPr>
      <w:r>
        <w:rPr>
          <w:rFonts w:ascii="Times New Roman" w:hAnsi="Times New Roman"/>
          <w:b w:val="0"/>
          <w:i w:val="0"/>
          <w:sz w:val="20"/>
        </w:rPr>
      </w:r>
      <w:r>
        <w:rPr>
          <w:rFonts w:ascii="Times New Roman" w:hAnsi="Times New Roman"/>
          <w:b/>
          <w:i w:val="0"/>
          <w:sz w:val="20"/>
        </w:rPr>
        <w:t>Labels</w:t>
      </w:r>
      <w:r>
        <w:rPr>
          <w:rFonts w:ascii="Times New Roman" w:hAnsi="Times New Roman"/>
          <w:b w:val="0"/>
          <w:i w:val="0"/>
          <w:sz w:val="20"/>
        </w:rPr>
        <w:t>: Optional semantic class labels (STSD dataset format)</w:t>
      </w:r>
    </w:p>
    <w:p>
      <w:pPr>
        <w:spacing w:after="80" w:before="40"/>
      </w:pPr>
      <w:r>
        <w:rPr>
          <w:rFonts w:ascii="Times New Roman" w:hAnsi="Times New Roman"/>
          <w:b w:val="0"/>
          <w:i w:val="0"/>
          <w:sz w:val="20"/>
        </w:rPr>
        <w:t>A maximum of 5,000,000 points is enforced; larger clouds are spatially subsampled to this limit before any processing.</w:t>
      </w:r>
    </w:p>
    <w:p>
      <w:r>
        <w:rPr>
          <w:sz w:val="12"/>
        </w:rPr>
        <w:t>────────────────────────────────────────────────────────────</w:t>
      </w:r>
    </w:p>
    <w:p>
      <w:pPr>
        <w:pStyle w:val="Heading1"/>
        <w:jc w:val="left"/>
      </w:pPr>
      <w:r>
        <w:rPr>
          <w:rFonts w:ascii="Times New Roman" w:hAnsi="Times New Roman"/>
          <w:color w:val="000000"/>
          <w:sz w:val="24"/>
        </w:rPr>
        <w:t>IV. Preprocessing</w:t>
      </w:r>
    </w:p>
    <w:p>
      <w:pPr>
        <w:pStyle w:val="Heading2"/>
        <w:jc w:val="left"/>
      </w:pPr>
      <w:r>
        <w:rPr>
          <w:rFonts w:ascii="Times New Roman" w:hAnsi="Times New Roman"/>
          <w:color w:val="000000"/>
          <w:sz w:val="22"/>
        </w:rPr>
        <w:t>A. Range Crop</w:t>
      </w:r>
    </w:p>
    <w:p>
      <w:pPr>
        <w:spacing w:after="80" w:before="40"/>
      </w:pPr>
      <w:r>
        <w:rPr>
          <w:rFonts w:ascii="Times New Roman" w:hAnsi="Times New Roman"/>
          <w:b w:val="0"/>
          <w:i w:val="0"/>
          <w:sz w:val="20"/>
        </w:rPr>
        <w:t>Points beyond a configurable Euclidean distance from the scanner origin are removed. This mirrors the MATLAB reference tool's pre-processing step and eliminates the low-density, noisy far-field that degrades statistical estimators downstream. Three distance modes are supported: sensor-origin Euclidean, cloud-centroid Euclidean, and radial distance from the PCA tunnel axis.</w:t>
      </w:r>
    </w:p>
    <w:p>
      <w:pPr>
        <w:pStyle w:val="Heading2"/>
        <w:jc w:val="left"/>
      </w:pPr>
      <w:r>
        <w:rPr>
          <w:rFonts w:ascii="Times New Roman" w:hAnsi="Times New Roman"/>
          <w:color w:val="000000"/>
          <w:sz w:val="22"/>
        </w:rPr>
        <w:t>B. Voxel Downsampling</w:t>
      </w:r>
    </w:p>
    <w:p>
      <w:pPr>
        <w:spacing w:after="80" w:before="40"/>
      </w:pPr>
      <w:r>
        <w:rPr>
          <w:rFonts w:ascii="Times New Roman" w:hAnsi="Times New Roman"/>
          <w:b w:val="0"/>
          <w:i w:val="0"/>
          <w:sz w:val="20"/>
        </w:rPr>
        <w:t xml:space="preserve">A grid-based voxel filter reduces point density while preserving surface geometry. Each voxel retains one representative point. Open3D's </w:t>
      </w:r>
      <w:r>
        <w:rPr>
          <w:rFonts w:ascii="Courier New" w:hAnsi="Courier New"/>
          <w:sz w:val="18"/>
        </w:rPr>
        <w:t>voxel_down_sample</w:t>
      </w:r>
      <w:r>
        <w:rPr>
          <w:rFonts w:ascii="Times New Roman" w:hAnsi="Times New Roman"/>
          <w:b w:val="0"/>
          <w:i w:val="0"/>
          <w:sz w:val="20"/>
        </w:rPr>
        <w:t xml:space="preserve"> is used when available, with a NumPy fallback. Typical grid sizes: 0.05 m for analysis, 0.02 m for precision work, 0.10 m for preview.</w:t>
      </w:r>
    </w:p>
    <w:p>
      <w:pPr>
        <w:pStyle w:val="Heading2"/>
        <w:jc w:val="left"/>
      </w:pPr>
      <w:r>
        <w:rPr>
          <w:rFonts w:ascii="Times New Roman" w:hAnsi="Times New Roman"/>
          <w:color w:val="000000"/>
          <w:sz w:val="22"/>
        </w:rPr>
        <w:t>C. Lining Extraction</w:t>
      </w:r>
    </w:p>
    <w:p>
      <w:pPr>
        <w:spacing w:after="80" w:before="40"/>
      </w:pPr>
      <w:r>
        <w:rPr>
          <w:rFonts w:ascii="Times New Roman" w:hAnsi="Times New Roman"/>
          <w:b w:val="0"/>
          <w:i w:val="0"/>
          <w:sz w:val="20"/>
        </w:rPr>
        <w:t>Three strategies are available:</w:t>
      </w:r>
    </w:p>
    <w:p>
      <w:pPr>
        <w:pStyle w:val="ListNumber"/>
        <w:ind w:left="432"/>
      </w:pPr>
      <w:r>
        <w:rPr>
          <w:rFonts w:ascii="Times New Roman" w:hAnsi="Times New Roman"/>
          <w:b w:val="0"/>
          <w:i w:val="0"/>
          <w:sz w:val="20"/>
        </w:rPr>
        <w:t>**Label-based (STSD):** When semantic labels are present, structural classes (lining, ring segments) are retained and non-structural classes are discarded.</w:t>
      </w:r>
    </w:p>
    <w:p>
      <w:pPr>
        <w:pStyle w:val="ListNumber"/>
        <w:ind w:left="432"/>
      </w:pPr>
      <w:r>
        <w:rPr>
          <w:rFonts w:ascii="Times New Roman" w:hAnsi="Times New Roman"/>
          <w:b w:val="0"/>
          <w:i w:val="0"/>
          <w:sz w:val="20"/>
        </w:rPr>
        <w:t>**Geometric (SOR):** Statistical outlier removal on per-section radial deviations (μ ± 2.5σ). Applied iteratively until convergence.</w:t>
      </w:r>
    </w:p>
    <w:p>
      <w:pPr>
        <w:pStyle w:val="ListNumber"/>
        <w:ind w:left="432"/>
      </w:pPr>
      <w:r>
        <w:rPr>
          <w:rFonts w:ascii="Times New Roman" w:hAnsi="Times New Roman"/>
          <w:b w:val="0"/>
          <w:i w:val="0"/>
          <w:sz w:val="20"/>
        </w:rPr>
        <w:t>**Density-variation:** Local radial histogram analysis identifies the inner lining surface as the high-density peak, filtering interior clutter.</w:t>
      </w:r>
    </w:p>
    <w:p>
      <w:pPr>
        <w:pStyle w:val="Heading2"/>
        <w:jc w:val="left"/>
      </w:pPr>
      <w:r>
        <w:rPr>
          <w:rFonts w:ascii="Times New Roman" w:hAnsi="Times New Roman"/>
          <w:color w:val="000000"/>
          <w:sz w:val="22"/>
        </w:rPr>
        <w:t>D. Three-Stage Auto-Denoising</w:t>
      </w:r>
    </w:p>
    <w:p>
      <w:pPr>
        <w:spacing w:after="80" w:before="40"/>
      </w:pPr>
      <w:r>
        <w:rPr>
          <w:rFonts w:ascii="Times New Roman" w:hAnsi="Times New Roman"/>
          <w:b w:val="0"/>
          <w:i w:val="0"/>
          <w:sz w:val="20"/>
        </w:rPr>
        <w:t>The key novelty in preprocessing is an automatic three-stage denoising pipeline that requires no training data or manual labelling:</w:t>
      </w:r>
    </w:p>
    <w:p>
      <w:pPr>
        <w:spacing w:after="80" w:before="40"/>
      </w:pPr>
      <w:r>
        <w:rPr>
          <w:rFonts w:ascii="Times New Roman" w:hAnsi="Times New Roman"/>
          <w:b w:val="0"/>
          <w:i w:val="0"/>
          <w:sz w:val="20"/>
        </w:rPr>
      </w:r>
      <w:r>
        <w:rPr>
          <w:rFonts w:ascii="Times New Roman" w:hAnsi="Times New Roman"/>
          <w:b/>
          <w:i w:val="0"/>
          <w:sz w:val="20"/>
        </w:rPr>
        <w:t>Stage A — Morphological Classification:</w:t>
      </w:r>
      <w:r>
        <w:rPr>
          <w:rFonts w:ascii="Times New Roman" w:hAnsi="Times New Roman"/>
          <w:b w:val="0"/>
          <w:i w:val="0"/>
          <w:sz w:val="20"/>
        </w:rPr>
        <w:t xml:space="preserve"> Local PCA is computed in neighbourhood windows. Points belonging to cable-like structures exhibit a high linearity eigenvalue ratio (λ₁ ≫ λ₂ ≈ λ₃); people and equipment exhibit planar response. DBSCAN clustering groups these anomalous points into connected components for removal.</w:t>
      </w:r>
    </w:p>
    <w:p>
      <w:pPr>
        <w:spacing w:after="80" w:before="40"/>
      </w:pPr>
      <w:r>
        <w:rPr>
          <w:rFonts w:ascii="Times New Roman" w:hAnsi="Times New Roman"/>
          <w:b w:val="0"/>
          <w:i w:val="0"/>
          <w:sz w:val="20"/>
        </w:rPr>
      </w:r>
      <w:r>
        <w:rPr>
          <w:rFonts w:ascii="Times New Roman" w:hAnsi="Times New Roman"/>
          <w:b/>
          <w:i w:val="0"/>
          <w:sz w:val="20"/>
        </w:rPr>
        <w:t>Stage B — Radial Statistical Filtering:</w:t>
      </w:r>
      <w:r>
        <w:rPr>
          <w:rFonts w:ascii="Times New Roman" w:hAnsi="Times New Roman"/>
          <w:b w:val="0"/>
          <w:i w:val="0"/>
          <w:sz w:val="20"/>
        </w:rPr>
        <w:t xml:space="preserve"> The tunnel is partitioned into 1 m axial bins. Within each bin, the radial distance from the estimated tunnel axis is computed. Points deviating more than 2.5 median absolute deviations (MAD) from the bin median are flagged as outliers. MAD is preferred over the standard deviation because it is robust to the heavy-tailed distributions produced by fixtures and protrusions.</w:t>
      </w:r>
    </w:p>
    <w:p>
      <w:pPr>
        <w:spacing w:after="80" w:before="40"/>
      </w:pPr>
      <w:r>
        <w:rPr>
          <w:rFonts w:ascii="Times New Roman" w:hAnsi="Times New Roman"/>
          <w:b w:val="0"/>
          <w:i w:val="0"/>
          <w:sz w:val="20"/>
        </w:rPr>
      </w:r>
      <w:r>
        <w:rPr>
          <w:rFonts w:ascii="Times New Roman" w:hAnsi="Times New Roman"/>
          <w:b/>
          <w:i w:val="0"/>
          <w:sz w:val="20"/>
        </w:rPr>
        <w:t>Stage C — Wall-Mounted Cable Detection:</w:t>
      </w:r>
      <w:r>
        <w:rPr>
          <w:rFonts w:ascii="Times New Roman" w:hAnsi="Times New Roman"/>
          <w:b w:val="0"/>
          <w:i w:val="0"/>
          <w:sz w:val="20"/>
        </w:rPr>
        <w:t xml:space="preserve"> A cylindrical grid is constructed around the tunnel axis. Within each grid cell, points are separated into "background" (lining surface, represented by the lower percentile of radial distances) and "foreground" (protrusions). Foreground points are then tested for axial continuity: a cable running along the wall appears as a connected run of foreground cells across multiple consecutive axial bins. Such continuous protrusions are removed.</w:t>
      </w:r>
    </w:p>
    <w:p>
      <w:pPr>
        <w:spacing w:after="80" w:before="40"/>
      </w:pPr>
      <w:r>
        <w:rPr>
          <w:rFonts w:ascii="Times New Roman" w:hAnsi="Times New Roman"/>
          <w:b w:val="0"/>
          <w:i w:val="0"/>
          <w:sz w:val="20"/>
        </w:rPr>
        <w:t>This cascade eliminates the most common noise sources — free-hanging cables (Stage A), isolated fixtures (Stage B), and wall-mounted cable runs (Stage C) — without requiring any prior labelling.</w:t>
      </w:r>
    </w:p>
    <w:p>
      <w:r>
        <w:rPr>
          <w:sz w:val="12"/>
        </w:rPr>
        <w:t>────────────────────────────────────────────────────────────</w:t>
      </w:r>
    </w:p>
    <w:p>
      <w:pPr>
        <w:pStyle w:val="Heading1"/>
        <w:jc w:val="left"/>
      </w:pPr>
      <w:r>
        <w:rPr>
          <w:rFonts w:ascii="Times New Roman" w:hAnsi="Times New Roman"/>
          <w:color w:val="000000"/>
          <w:sz w:val="24"/>
        </w:rPr>
        <w:t>V. Multi-Scan Registration</w:t>
      </w:r>
    </w:p>
    <w:p>
      <w:pPr>
        <w:spacing w:after="80" w:before="40"/>
      </w:pPr>
      <w:r>
        <w:rPr>
          <w:rFonts w:ascii="Times New Roman" w:hAnsi="Times New Roman"/>
          <w:b w:val="0"/>
          <w:i w:val="0"/>
          <w:sz w:val="20"/>
        </w:rPr>
        <w:t>When multiple scanner stations are used, scans must be co-registered into a common coordinate frame.</w:t>
      </w:r>
    </w:p>
    <w:p>
      <w:pPr>
        <w:pStyle w:val="Heading2"/>
        <w:jc w:val="left"/>
      </w:pPr>
      <w:r>
        <w:rPr>
          <w:rFonts w:ascii="Times New Roman" w:hAnsi="Times New Roman"/>
          <w:color w:val="000000"/>
          <w:sz w:val="22"/>
        </w:rPr>
        <w:t>A. Coarse Alignment (GROR)</w:t>
      </w:r>
    </w:p>
    <w:p>
      <w:pPr>
        <w:spacing w:after="80" w:before="40"/>
      </w:pPr>
      <w:r>
        <w:rPr>
          <w:rFonts w:ascii="Times New Roman" w:hAnsi="Times New Roman"/>
          <w:b w:val="0"/>
          <w:i w:val="0"/>
          <w:sz w:val="20"/>
        </w:rPr>
        <w:t>A Graph-based Outlier Rejection (GROR) strategy is used for initial pose estimation:</w:t>
      </w:r>
    </w:p>
    <w:p>
      <w:pPr>
        <w:pStyle w:val="ListNumber"/>
        <w:ind w:left="432"/>
      </w:pPr>
      <w:r>
        <w:rPr>
          <w:rFonts w:ascii="Times New Roman" w:hAnsi="Times New Roman"/>
          <w:b w:val="0"/>
          <w:i w:val="0"/>
          <w:sz w:val="20"/>
        </w:rPr>
        <w:t>Fast Point Feature Histograms (FPFH) are extracted from both source and target clouds using Open3D.</w:t>
      </w:r>
    </w:p>
    <w:p>
      <w:pPr>
        <w:pStyle w:val="ListNumber"/>
        <w:ind w:left="432"/>
      </w:pPr>
      <w:r>
        <w:rPr>
          <w:rFonts w:ascii="Times New Roman" w:hAnsi="Times New Roman"/>
          <w:b w:val="0"/>
          <w:i w:val="0"/>
          <w:sz w:val="20"/>
        </w:rPr>
        <w:t>Mutual nearest-neighbour matching identifies candidate correspondences in feature space.</w:t>
      </w:r>
    </w:p>
    <w:p>
      <w:pPr>
        <w:pStyle w:val="ListNumber"/>
        <w:ind w:left="432"/>
      </w:pPr>
      <w:r>
        <w:rPr>
          <w:rFonts w:ascii="Times New Roman" w:hAnsi="Times New Roman"/>
          <w:b w:val="0"/>
          <w:i w:val="0"/>
          <w:sz w:val="20"/>
        </w:rPr>
        <w:t>A compatibility graph is constructed: two correspondences are compatible if their inter-point distances are consistent in both source and target. Cliques in this graph represent geometrically consistent sets.</w:t>
      </w:r>
    </w:p>
    <w:p>
      <w:pPr>
        <w:pStyle w:val="ListNumber"/>
        <w:ind w:left="432"/>
      </w:pPr>
      <w:r>
        <w:rPr>
          <w:rFonts w:ascii="Times New Roman" w:hAnsi="Times New Roman"/>
          <w:b w:val="0"/>
          <w:i w:val="0"/>
          <w:sz w:val="20"/>
        </w:rPr>
        <w:t>The largest reliable set of correspondences is used to estimate a rigid transformation via Umeyama SVD.</w:t>
      </w:r>
    </w:p>
    <w:p>
      <w:pPr>
        <w:spacing w:after="80" w:before="40"/>
      </w:pPr>
      <w:r>
        <w:rPr>
          <w:rFonts w:ascii="Times New Roman" w:hAnsi="Times New Roman"/>
          <w:b w:val="0"/>
          <w:i w:val="0"/>
          <w:sz w:val="20"/>
        </w:rPr>
        <w:t>A simpler intensity-centroid anchor translation is used as fallback when FPFH matching fails.</w:t>
      </w:r>
    </w:p>
    <w:p>
      <w:pPr>
        <w:pStyle w:val="Heading2"/>
        <w:jc w:val="left"/>
      </w:pPr>
      <w:r>
        <w:rPr>
          <w:rFonts w:ascii="Times New Roman" w:hAnsi="Times New Roman"/>
          <w:color w:val="000000"/>
          <w:sz w:val="22"/>
        </w:rPr>
        <w:t>B. Fine Registration (GICP)</w:t>
      </w:r>
    </w:p>
    <w:p>
      <w:pPr>
        <w:spacing w:after="80" w:before="40"/>
      </w:pPr>
      <w:r>
        <w:rPr>
          <w:rFonts w:ascii="Times New Roman" w:hAnsi="Times New Roman"/>
          <w:b w:val="0"/>
          <w:i w:val="0"/>
          <w:sz w:val="20"/>
        </w:rPr>
        <w:t xml:space="preserve">Generalised Iterative Closest Point (GICP), implemented via the </w:t>
      </w:r>
      <w:r>
        <w:rPr>
          <w:rFonts w:ascii="Courier New" w:hAnsi="Courier New"/>
          <w:sz w:val="18"/>
        </w:rPr>
        <w:t>small_gicp</w:t>
      </w:r>
      <w:r>
        <w:rPr>
          <w:rFonts w:ascii="Times New Roman" w:hAnsi="Times New Roman"/>
          <w:b w:val="0"/>
          <w:i w:val="0"/>
          <w:sz w:val="20"/>
        </w:rPr>
        <w:t xml:space="preserve"> library with multi-thread parallelisation, refines the coarse alignment. GICP models local surface covariance at each point, making it more robust than point-to-point ICP on noisy tunnel surfaces. The algorithm iterates until relative fitness and RMSE changes fall below 10⁻⁶. The final Root Mean Square Error (RMSE) is reported; values above 2 mm trigger a quality warning per ITA guidelines.</w:t>
      </w:r>
    </w:p>
    <w:p>
      <w:r>
        <w:rPr>
          <w:sz w:val="12"/>
        </w:rPr>
        <w:t>────────────────────────────────────────────────────────────</w:t>
      </w:r>
    </w:p>
    <w:p>
      <w:pPr>
        <w:pStyle w:val="Heading1"/>
        <w:jc w:val="left"/>
      </w:pPr>
      <w:r>
        <w:rPr>
          <w:rFonts w:ascii="Times New Roman" w:hAnsi="Times New Roman"/>
          <w:color w:val="000000"/>
          <w:sz w:val="24"/>
        </w:rPr>
        <w:t>VI. Geometric Analysis</w:t>
      </w:r>
    </w:p>
    <w:p>
      <w:pPr>
        <w:pStyle w:val="Heading2"/>
        <w:jc w:val="left"/>
      </w:pPr>
      <w:r>
        <w:rPr>
          <w:rFonts w:ascii="Times New Roman" w:hAnsi="Times New Roman"/>
          <w:color w:val="000000"/>
          <w:sz w:val="22"/>
        </w:rPr>
        <w:t>A. Centerline Extraction</w:t>
      </w:r>
    </w:p>
    <w:p>
      <w:pPr>
        <w:spacing w:after="80" w:before="40"/>
      </w:pPr>
      <w:r>
        <w:rPr>
          <w:rFonts w:ascii="Times New Roman" w:hAnsi="Times New Roman"/>
          <w:b w:val="0"/>
          <w:i w:val="0"/>
          <w:sz w:val="20"/>
        </w:rPr>
        <w:t>The tunnel axis is estimated as follows:</w:t>
      </w:r>
    </w:p>
    <w:p>
      <w:pPr>
        <w:pStyle w:val="ListNumber"/>
        <w:ind w:left="432"/>
      </w:pPr>
      <w:r>
        <w:rPr>
          <w:rFonts w:ascii="Times New Roman" w:hAnsi="Times New Roman"/>
          <w:b w:val="0"/>
          <w:i w:val="0"/>
          <w:sz w:val="20"/>
        </w:rPr>
        <w:t>The cloud is projected onto the dominant PCA eigenvector to define the axial coordinate.</w:t>
      </w:r>
    </w:p>
    <w:p>
      <w:pPr>
        <w:pStyle w:val="ListNumber"/>
        <w:ind w:left="432"/>
      </w:pPr>
      <w:r>
        <w:rPr>
          <w:rFonts w:ascii="Times New Roman" w:hAnsi="Times New Roman"/>
          <w:b w:val="0"/>
          <w:i w:val="0"/>
          <w:sz w:val="20"/>
        </w:rPr>
        <w:t>The axial range is divided into `N` equal-width slices (default N = 80). Equal-width slicing (as opposed to equal-count slicing) ensures uniform coverage in the sparse scan ends.</w:t>
      </w:r>
    </w:p>
    <w:p>
      <w:pPr>
        <w:pStyle w:val="ListNumber"/>
        <w:ind w:left="432"/>
      </w:pPr>
      <w:r>
        <w:rPr>
          <w:rFonts w:ascii="Times New Roman" w:hAnsi="Times New Roman"/>
          <w:b w:val="0"/>
          <w:i w:val="0"/>
          <w:sz w:val="20"/>
        </w:rPr>
        <w:t>Within each slice, a circle is fitted to the cross-sectional points. The fitted centre is taken as the axis point for that slice.</w:t>
      </w:r>
    </w:p>
    <w:p>
      <w:pPr>
        <w:pStyle w:val="ListNumber"/>
        <w:ind w:left="432"/>
      </w:pPr>
      <w:r>
        <w:rPr>
          <w:rFonts w:ascii="Times New Roman" w:hAnsi="Times New Roman"/>
          <w:b w:val="0"/>
          <w:i w:val="0"/>
          <w:sz w:val="20"/>
        </w:rPr>
        <w:t>A despike filter applies a median filter across adjacent centres to remove outliers caused by ring-seam gaps or missing data (fewer than `MIN_SLICE_POINTS = 12` points).</w:t>
      </w:r>
    </w:p>
    <w:p>
      <w:pPr>
        <w:spacing w:after="80" w:before="40"/>
      </w:pPr>
      <w:r>
        <w:rPr>
          <w:rFonts w:ascii="Times New Roman" w:hAnsi="Times New Roman"/>
          <w:b w:val="0"/>
          <w:i w:val="0"/>
          <w:sz w:val="20"/>
        </w:rPr>
        <w:t>The result is a piecewise-linear centerline of N points.</w:t>
      </w:r>
    </w:p>
    <w:p>
      <w:pPr>
        <w:pStyle w:val="Heading2"/>
        <w:jc w:val="left"/>
      </w:pPr>
      <w:r>
        <w:rPr>
          <w:rFonts w:ascii="Times New Roman" w:hAnsi="Times New Roman"/>
          <w:color w:val="000000"/>
          <w:sz w:val="22"/>
        </w:rPr>
        <w:t>B. Frenet Frame Computation</w:t>
      </w:r>
    </w:p>
    <w:p>
      <w:pPr>
        <w:spacing w:after="80" w:before="40"/>
      </w:pPr>
      <w:r>
        <w:rPr>
          <w:rFonts w:ascii="Times New Roman" w:hAnsi="Times New Roman"/>
          <w:b w:val="0"/>
          <w:i w:val="0"/>
          <w:sz w:val="20"/>
        </w:rPr>
        <w:t>At each centerline point, a local orthonormal frame (T, N, B) is computed:</w:t>
      </w:r>
    </w:p>
    <w:p>
      <w:pPr>
        <w:pStyle w:val="ListBullet"/>
        <w:ind w:left="432"/>
      </w:pPr>
      <w:r>
        <w:rPr>
          <w:rFonts w:ascii="Times New Roman" w:hAnsi="Times New Roman"/>
          <w:b w:val="0"/>
          <w:i w:val="0"/>
          <w:sz w:val="20"/>
        </w:rPr>
      </w:r>
      <w:r>
        <w:rPr>
          <w:rFonts w:ascii="Times New Roman" w:hAnsi="Times New Roman"/>
          <w:b/>
          <w:i w:val="0"/>
          <w:sz w:val="20"/>
        </w:rPr>
        <w:t>T</w:t>
      </w:r>
      <w:r>
        <w:rPr>
          <w:rFonts w:ascii="Times New Roman" w:hAnsi="Times New Roman"/>
          <w:b w:val="0"/>
          <w:i w:val="0"/>
          <w:sz w:val="20"/>
        </w:rPr>
        <w:t xml:space="preserve"> (tangent): finite-difference approximation of the centerline derivative, normalised.</w:t>
      </w:r>
    </w:p>
    <w:p>
      <w:pPr>
        <w:pStyle w:val="ListBullet"/>
        <w:ind w:left="432"/>
      </w:pPr>
      <w:r>
        <w:rPr>
          <w:rFonts w:ascii="Times New Roman" w:hAnsi="Times New Roman"/>
          <w:b w:val="0"/>
          <w:i w:val="0"/>
          <w:sz w:val="20"/>
        </w:rPr>
      </w:r>
      <w:r>
        <w:rPr>
          <w:rFonts w:ascii="Times New Roman" w:hAnsi="Times New Roman"/>
          <w:b/>
          <w:i w:val="0"/>
          <w:sz w:val="20"/>
        </w:rPr>
        <w:t>N</w:t>
      </w:r>
      <w:r>
        <w:rPr>
          <w:rFonts w:ascii="Times New Roman" w:hAnsi="Times New Roman"/>
          <w:b w:val="0"/>
          <w:i w:val="0"/>
          <w:sz w:val="20"/>
        </w:rPr>
        <w:t xml:space="preserve"> (principal normal): component of the second derivative perpendicular to T.</w:t>
      </w:r>
    </w:p>
    <w:p>
      <w:pPr>
        <w:pStyle w:val="ListBullet"/>
        <w:ind w:left="432"/>
      </w:pPr>
      <w:r>
        <w:rPr>
          <w:rFonts w:ascii="Times New Roman" w:hAnsi="Times New Roman"/>
          <w:b w:val="0"/>
          <w:i w:val="0"/>
          <w:sz w:val="20"/>
        </w:rPr>
      </w:r>
      <w:r>
        <w:rPr>
          <w:rFonts w:ascii="Times New Roman" w:hAnsi="Times New Roman"/>
          <w:b/>
          <w:i w:val="0"/>
          <w:sz w:val="20"/>
        </w:rPr>
        <w:t>B</w:t>
      </w:r>
      <w:r>
        <w:rPr>
          <w:rFonts w:ascii="Times New Roman" w:hAnsi="Times New Roman"/>
          <w:b w:val="0"/>
          <w:i w:val="0"/>
          <w:sz w:val="20"/>
        </w:rPr>
        <w:t xml:space="preserve"> (binormal): T × N.</w:t>
      </w:r>
    </w:p>
    <w:p>
      <w:pPr>
        <w:spacing w:after="80" w:before="40"/>
      </w:pPr>
      <w:r>
        <w:rPr>
          <w:rFonts w:ascii="Times New Roman" w:hAnsi="Times New Roman"/>
          <w:b w:val="0"/>
          <w:i w:val="0"/>
          <w:sz w:val="20"/>
        </w:rPr>
        <w:t xml:space="preserve">This Frenet–Serret frame defines a local coordinate system in which the tunnel cross-section lies in the N–B plane. Projecting the point cloud onto this plane produces cross-sections that are </w:t>
      </w:r>
      <w:r>
        <w:rPr>
          <w:rFonts w:ascii="Times New Roman" w:hAnsi="Times New Roman"/>
          <w:b/>
          <w:i w:val="0"/>
          <w:sz w:val="20"/>
        </w:rPr>
        <w:t>geometrically orthogonal</w:t>
      </w:r>
      <w:r>
        <w:rPr>
          <w:rFonts w:ascii="Times New Roman" w:hAnsi="Times New Roman"/>
          <w:b w:val="0"/>
          <w:i w:val="0"/>
          <w:sz w:val="20"/>
        </w:rPr>
        <w:t xml:space="preserve"> to the tunnel axis — a critical requirement for accurate ovality estimation. Non-orthogonal sections introduce apparent ovality errors of up to 15% in curved tunnels.</w:t>
      </w:r>
    </w:p>
    <w:p>
      <w:pPr>
        <w:pStyle w:val="Heading2"/>
        <w:jc w:val="left"/>
      </w:pPr>
      <w:r>
        <w:rPr>
          <w:rFonts w:ascii="Times New Roman" w:hAnsi="Times New Roman"/>
          <w:color w:val="000000"/>
          <w:sz w:val="22"/>
        </w:rPr>
        <w:t>C. Iterative Centerline Refinement</w:t>
      </w:r>
    </w:p>
    <w:p>
      <w:pPr>
        <w:spacing w:after="80" w:before="40"/>
      </w:pPr>
      <w:r>
        <w:rPr>
          <w:rFonts w:ascii="Times New Roman" w:hAnsi="Times New Roman"/>
          <w:b w:val="0"/>
          <w:i w:val="0"/>
          <w:sz w:val="20"/>
        </w:rPr>
        <w:t xml:space="preserve">When a design axis is available, an iterative refinement step converges the extracted centerline towards the design specification. At each iteration, cross-sections are re-extracted using the current best estimate of the axis, and new centers are computed. A B-spline is fitted (scipy </w:t>
      </w:r>
      <w:r>
        <w:rPr>
          <w:rFonts w:ascii="Courier New" w:hAnsi="Courier New"/>
          <w:sz w:val="18"/>
        </w:rPr>
        <w:t>splprep</w:t>
      </w:r>
      <w:r>
        <w:rPr>
          <w:rFonts w:ascii="Times New Roman" w:hAnsi="Times New Roman"/>
          <w:b w:val="0"/>
          <w:i w:val="0"/>
          <w:sz w:val="20"/>
        </w:rPr>
        <w:t>/</w:t>
      </w:r>
      <w:r>
        <w:rPr>
          <w:rFonts w:ascii="Courier New" w:hAnsi="Courier New"/>
          <w:sz w:val="18"/>
        </w:rPr>
        <w:t>splev</w:t>
      </w:r>
      <w:r>
        <w:rPr>
          <w:rFonts w:ascii="Times New Roman" w:hAnsi="Times New Roman"/>
          <w:b w:val="0"/>
          <w:i w:val="0"/>
          <w:sz w:val="20"/>
        </w:rPr>
        <w:t>, C² continuity) and blended with the previous estimate using a relaxation factor μ = 0.03. Convergence is declared when the mean shift between iterations falls below 1 mm.</w:t>
      </w:r>
    </w:p>
    <w:p>
      <w:r>
        <w:rPr>
          <w:sz w:val="12"/>
        </w:rPr>
        <w:t>────────────────────────────────────────────────────────────</w:t>
      </w:r>
    </w:p>
    <w:p>
      <w:pPr>
        <w:pStyle w:val="Heading1"/>
        <w:jc w:val="left"/>
      </w:pPr>
      <w:r>
        <w:rPr>
          <w:rFonts w:ascii="Times New Roman" w:hAnsi="Times New Roman"/>
          <w:color w:val="000000"/>
          <w:sz w:val="24"/>
        </w:rPr>
        <w:t>VII. Parameter Extraction</w:t>
      </w:r>
    </w:p>
    <w:p>
      <w:pPr>
        <w:spacing w:after="80" w:before="40"/>
      </w:pPr>
      <w:r>
        <w:rPr>
          <w:rFonts w:ascii="Times New Roman" w:hAnsi="Times New Roman"/>
          <w:b w:val="0"/>
          <w:i w:val="0"/>
          <w:sz w:val="20"/>
        </w:rPr>
        <w:t>For each cross-section, the following metrics are computed:</w:t>
      </w:r>
    </w:p>
    <w:p>
      <w:pPr>
        <w:pStyle w:val="Heading2"/>
        <w:jc w:val="left"/>
      </w:pPr>
      <w:r>
        <w:rPr>
          <w:rFonts w:ascii="Times New Roman" w:hAnsi="Times New Roman"/>
          <w:color w:val="000000"/>
          <w:sz w:val="22"/>
        </w:rPr>
        <w:t>A. Cross-Section Geometry</w:t>
      </w:r>
    </w:p>
    <w:p>
      <w:pPr>
        <w:spacing w:after="80" w:before="40"/>
      </w:pPr>
      <w:r>
        <w:rPr>
          <w:rFonts w:ascii="Times New Roman" w:hAnsi="Times New Roman"/>
          <w:b w:val="0"/>
          <w:i w:val="0"/>
          <w:sz w:val="20"/>
        </w:rPr>
        <w:t>An ellipse is fitted to the 2D projected section points using the Fitzgibbon Direct Least Squares (DLS) method. This yields:</w:t>
      </w:r>
    </w:p>
    <w:p>
      <w:pPr>
        <w:pStyle w:val="ListBullet"/>
        <w:ind w:left="432"/>
      </w:pPr>
      <w:r>
        <w:rPr>
          <w:rFonts w:ascii="Times New Roman" w:hAnsi="Times New Roman"/>
          <w:b w:val="0"/>
          <w:i w:val="0"/>
          <w:sz w:val="20"/>
        </w:rPr>
      </w:r>
      <w:r>
        <w:rPr>
          <w:rFonts w:ascii="Times New Roman" w:hAnsi="Times New Roman"/>
          <w:b/>
          <w:i w:val="0"/>
          <w:sz w:val="20"/>
        </w:rPr>
        <w:t>Radius R</w:t>
      </w:r>
      <w:r>
        <w:rPr>
          <w:rFonts w:ascii="Times New Roman" w:hAnsi="Times New Roman"/>
          <w:b w:val="0"/>
          <w:i w:val="0"/>
          <w:sz w:val="20"/>
        </w:rPr>
        <w:t>: Mean radius from fitted circle/ellipse</w:t>
      </w:r>
    </w:p>
    <w:p>
      <w:pPr>
        <w:pStyle w:val="ListBullet"/>
        <w:ind w:left="432"/>
      </w:pPr>
      <w:r>
        <w:rPr>
          <w:rFonts w:ascii="Times New Roman" w:hAnsi="Times New Roman"/>
          <w:b w:val="0"/>
          <w:i w:val="0"/>
          <w:sz w:val="20"/>
        </w:rPr>
      </w:r>
      <w:r>
        <w:rPr>
          <w:rFonts w:ascii="Times New Roman" w:hAnsi="Times New Roman"/>
          <w:b/>
          <w:i w:val="0"/>
          <w:sz w:val="20"/>
        </w:rPr>
        <w:t>Ovality ε</w:t>
      </w:r>
      <w:r>
        <w:rPr>
          <w:rFonts w:ascii="Times New Roman" w:hAnsi="Times New Roman"/>
          <w:b w:val="0"/>
          <w:i w:val="0"/>
          <w:sz w:val="20"/>
        </w:rPr>
        <w:t>: ε = (a − b) / a × 100%, where a and b are the semi-major and semi-minor axes</w:t>
      </w:r>
    </w:p>
    <w:p>
      <w:pPr>
        <w:pStyle w:val="Heading2"/>
        <w:jc w:val="left"/>
      </w:pPr>
      <w:r>
        <w:rPr>
          <w:rFonts w:ascii="Times New Roman" w:hAnsi="Times New Roman"/>
          <w:color w:val="000000"/>
          <w:sz w:val="22"/>
        </w:rPr>
        <w:t>B. Eccentricity</w:t>
      </w:r>
    </w:p>
    <w:p>
      <w:pPr>
        <w:spacing w:after="80" w:before="40"/>
      </w:pPr>
      <w:r>
        <w:rPr>
          <w:rFonts w:ascii="Times New Roman" w:hAnsi="Times New Roman"/>
          <w:b w:val="0"/>
          <w:i w:val="0"/>
          <w:sz w:val="20"/>
        </w:rPr>
        <w:t>The distance between the fitted centre and the design-specified centre position:</w:t>
      </w:r>
    </w:p>
    <w:p>
      <w:pPr>
        <w:spacing w:after="80" w:before="40"/>
      </w:pPr>
      <w:r>
        <w:rPr>
          <w:rFonts w:ascii="Times New Roman" w:hAnsi="Times New Roman"/>
          <w:b w:val="0"/>
          <w:i w:val="0"/>
          <w:sz w:val="20"/>
        </w:rPr>
      </w:r>
      <w:r>
        <w:rPr>
          <w:rFonts w:ascii="Times New Roman" w:hAnsi="Times New Roman"/>
          <w:b w:val="0"/>
          <w:i/>
          <w:sz w:val="20"/>
        </w:rPr>
        <w:t>e = ‖C_measured − C_design‖</w:t>
      </w:r>
      <w:r>
        <w:rPr>
          <w:rFonts w:ascii="Times New Roman" w:hAnsi="Times New Roman"/>
          <w:b w:val="0"/>
          <w:i w:val="0"/>
          <w:sz w:val="20"/>
        </w:rPr>
      </w:r>
    </w:p>
    <w:p>
      <w:pPr>
        <w:spacing w:after="80" w:before="40"/>
      </w:pPr>
      <w:r>
        <w:rPr>
          <w:rFonts w:ascii="Times New Roman" w:hAnsi="Times New Roman"/>
          <w:b w:val="0"/>
          <w:i w:val="0"/>
          <w:sz w:val="20"/>
        </w:rPr>
        <w:t>Large eccentricity indicates differential settlement or construction error.</w:t>
      </w:r>
    </w:p>
    <w:p>
      <w:pPr>
        <w:pStyle w:val="Heading2"/>
        <w:jc w:val="left"/>
      </w:pPr>
      <w:r>
        <w:rPr>
          <w:rFonts w:ascii="Times New Roman" w:hAnsi="Times New Roman"/>
          <w:color w:val="000000"/>
          <w:sz w:val="22"/>
        </w:rPr>
        <w:t>C. Crown Settlement and Lateral Convergence</w:t>
      </w:r>
    </w:p>
    <w:p>
      <w:pPr>
        <w:spacing w:after="80" w:before="40"/>
      </w:pPr>
      <w:r>
        <w:rPr>
          <w:rFonts w:ascii="Times New Roman" w:hAnsi="Times New Roman"/>
          <w:b w:val="0"/>
          <w:i w:val="0"/>
          <w:sz w:val="20"/>
        </w:rPr>
        <w:t>For multi-epoch surveys (T₀ reference + Tₙ monitoring):</w:t>
      </w:r>
    </w:p>
    <w:p>
      <w:pPr>
        <w:pStyle w:val="ListBullet"/>
        <w:ind w:left="432"/>
      </w:pPr>
      <w:r>
        <w:rPr>
          <w:rFonts w:ascii="Times New Roman" w:hAnsi="Times New Roman"/>
          <w:b w:val="0"/>
          <w:i w:val="0"/>
          <w:sz w:val="20"/>
        </w:rPr>
      </w:r>
      <w:r>
        <w:rPr>
          <w:rFonts w:ascii="Times New Roman" w:hAnsi="Times New Roman"/>
          <w:b/>
          <w:i w:val="0"/>
          <w:sz w:val="20"/>
        </w:rPr>
        <w:t>Crown Settlement δᵥ</w:t>
      </w:r>
      <w:r>
        <w:rPr>
          <w:rFonts w:ascii="Times New Roman" w:hAnsi="Times New Roman"/>
          <w:b w:val="0"/>
          <w:i w:val="0"/>
          <w:sz w:val="20"/>
        </w:rPr>
        <w:t>: Vertical displacement of the crown point between T₀ and Tₙ, measured along the B (binormal, up-direction) axis.</w:t>
      </w:r>
    </w:p>
    <w:p>
      <w:pPr>
        <w:pStyle w:val="ListBullet"/>
        <w:ind w:left="432"/>
      </w:pPr>
      <w:r>
        <w:rPr>
          <w:rFonts w:ascii="Times New Roman" w:hAnsi="Times New Roman"/>
          <w:b w:val="0"/>
          <w:i w:val="0"/>
          <w:sz w:val="20"/>
        </w:rPr>
      </w:r>
      <w:r>
        <w:rPr>
          <w:rFonts w:ascii="Times New Roman" w:hAnsi="Times New Roman"/>
          <w:b/>
          <w:i w:val="0"/>
          <w:sz w:val="20"/>
        </w:rPr>
        <w:t>Lateral Convergence δₕ</w:t>
      </w:r>
      <w:r>
        <w:rPr>
          <w:rFonts w:ascii="Times New Roman" w:hAnsi="Times New Roman"/>
          <w:b w:val="0"/>
          <w:i w:val="0"/>
          <w:sz w:val="20"/>
        </w:rPr>
        <w:t>: Change in horizontal span between T₀ and Tₙ, measured along the N (normal, horizontal) axis.</w:t>
      </w:r>
    </w:p>
    <w:p>
      <w:pPr>
        <w:pStyle w:val="Heading2"/>
        <w:jc w:val="left"/>
      </w:pPr>
      <w:r>
        <w:rPr>
          <w:rFonts w:ascii="Times New Roman" w:hAnsi="Times New Roman"/>
          <w:color w:val="000000"/>
          <w:sz w:val="22"/>
        </w:rPr>
        <w:t>D. Deformation Heatmap</w:t>
      </w:r>
    </w:p>
    <w:p>
      <w:pPr>
        <w:spacing w:after="80" w:before="40"/>
      </w:pPr>
      <w:r>
        <w:rPr>
          <w:rFonts w:ascii="Times New Roman" w:hAnsi="Times New Roman"/>
          <w:b w:val="0"/>
          <w:i w:val="0"/>
          <w:sz w:val="20"/>
        </w:rPr>
        <w:t xml:space="preserve">For each point in Tₙ, the nearest point on T₀ is found using a k-d tree (scipy </w:t>
      </w:r>
      <w:r>
        <w:rPr>
          <w:rFonts w:ascii="Courier New" w:hAnsi="Courier New"/>
          <w:sz w:val="18"/>
        </w:rPr>
        <w:t>cKDTree</w:t>
      </w:r>
      <w:r>
        <w:rPr>
          <w:rFonts w:ascii="Times New Roman" w:hAnsi="Times New Roman"/>
          <w:b w:val="0"/>
          <w:i w:val="0"/>
          <w:sz w:val="20"/>
        </w:rPr>
        <w:t>). The Hausdorff distance provides a local measure of surface displacement. The result is colour-mapped: green (&lt;1 mm), yellow (1–3 mm), red (&gt;3 mm).</w:t>
      </w:r>
    </w:p>
    <w:p>
      <w:pPr>
        <w:pStyle w:val="Heading2"/>
        <w:jc w:val="left"/>
      </w:pPr>
      <w:r>
        <w:rPr>
          <w:rFonts w:ascii="Times New Roman" w:hAnsi="Times New Roman"/>
          <w:color w:val="000000"/>
          <w:sz w:val="22"/>
        </w:rPr>
        <w:t>E. Safety Thresholds</w:t>
      </w:r>
    </w:p>
    <w:p>
      <w:pPr>
        <w:spacing w:after="80" w:before="40"/>
      </w:pPr>
      <w:r>
        <w:rPr>
          <w:rFonts w:ascii="Times New Roman" w:hAnsi="Times New Roman"/>
          <w:b w:val="0"/>
          <w:i w:val="0"/>
          <w:sz w:val="20"/>
        </w:rPr>
        <w:t>All metrics are evaluated against the following thresholds per KR C-08080 and KDS 27 25 00:</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b/>
                <w:i w:val="0"/>
                <w:sz w:val="18"/>
              </w:rPr>
              <w:t>Parameter</w:t>
            </w:r>
          </w:p>
        </w:tc>
        <w:tc>
          <w:tcPr>
            <w:tcW w:type="dxa" w:w="3135"/>
          </w:tcPr>
          <w:p>
            <w:pPr>
              <w:jc w:val="center"/>
            </w:pPr>
            <w:r>
              <w:rPr>
                <w:rFonts w:ascii="Times New Roman" w:hAnsi="Times New Roman"/>
                <w:b/>
                <w:i w:val="0"/>
                <w:sz w:val="18"/>
              </w:rPr>
              <w:t>Caution</w:t>
            </w:r>
          </w:p>
        </w:tc>
        <w:tc>
          <w:tcPr>
            <w:tcW w:type="dxa" w:w="3135"/>
          </w:tcPr>
          <w:p>
            <w:pPr>
              <w:jc w:val="center"/>
            </w:pPr>
            <w:r>
              <w:rPr>
                <w:rFonts w:ascii="Times New Roman" w:hAnsi="Times New Roman"/>
                <w:b/>
                <w:i w:val="0"/>
                <w:sz w:val="18"/>
              </w:rPr>
              <w:t>Critical</w:t>
            </w:r>
          </w:p>
        </w:tc>
      </w:tr>
      <w:tr>
        <w:tc>
          <w:tcPr>
            <w:tcW w:type="dxa" w:w="3135"/>
          </w:tcPr>
          <w:p>
            <w:pPr>
              <w:jc w:val="center"/>
            </w:pPr>
            <w:r>
              <w:rPr>
                <w:rFonts w:ascii="Times New Roman" w:hAnsi="Times New Roman"/>
                <w:b w:val="0"/>
                <w:i w:val="0"/>
                <w:sz w:val="18"/>
              </w:rPr>
              <w:t>Crown Settlement (δᵥ)</w:t>
            </w:r>
          </w:p>
        </w:tc>
        <w:tc>
          <w:tcPr>
            <w:tcW w:type="dxa" w:w="3135"/>
          </w:tcPr>
          <w:p>
            <w:pPr>
              <w:jc w:val="center"/>
            </w:pPr>
            <w:r>
              <w:rPr>
                <w:rFonts w:ascii="Times New Roman" w:hAnsi="Times New Roman"/>
                <w:b w:val="0"/>
                <w:i w:val="0"/>
                <w:sz w:val="18"/>
              </w:rPr>
              <w:t>10 mm</w:t>
            </w:r>
          </w:p>
        </w:tc>
        <w:tc>
          <w:tcPr>
            <w:tcW w:type="dxa" w:w="3135"/>
          </w:tcPr>
          <w:p>
            <w:pPr>
              <w:jc w:val="center"/>
            </w:pPr>
            <w:r>
              <w:rPr>
                <w:rFonts w:ascii="Times New Roman" w:hAnsi="Times New Roman"/>
                <w:b w:val="0"/>
                <w:i w:val="0"/>
                <w:sz w:val="18"/>
              </w:rPr>
              <w:t>25 mm</w:t>
            </w:r>
          </w:p>
        </w:tc>
      </w:tr>
      <w:tr>
        <w:tc>
          <w:tcPr>
            <w:tcW w:type="dxa" w:w="3135"/>
          </w:tcPr>
          <w:p>
            <w:pPr>
              <w:jc w:val="center"/>
            </w:pPr>
            <w:r>
              <w:rPr>
                <w:rFonts w:ascii="Times New Roman" w:hAnsi="Times New Roman"/>
                <w:b w:val="0"/>
                <w:i w:val="0"/>
                <w:sz w:val="18"/>
              </w:rPr>
              <w:t>Lateral Convergence (δₕ)</w:t>
            </w:r>
          </w:p>
        </w:tc>
        <w:tc>
          <w:tcPr>
            <w:tcW w:type="dxa" w:w="3135"/>
          </w:tcPr>
          <w:p>
            <w:pPr>
              <w:jc w:val="center"/>
            </w:pPr>
            <w:r>
              <w:rPr>
                <w:rFonts w:ascii="Times New Roman" w:hAnsi="Times New Roman"/>
                <w:b w:val="0"/>
                <w:i w:val="0"/>
                <w:sz w:val="18"/>
              </w:rPr>
              <w:t>15 mm</w:t>
            </w:r>
          </w:p>
        </w:tc>
        <w:tc>
          <w:tcPr>
            <w:tcW w:type="dxa" w:w="3135"/>
          </w:tcPr>
          <w:p>
            <w:pPr>
              <w:jc w:val="center"/>
            </w:pPr>
            <w:r>
              <w:rPr>
                <w:rFonts w:ascii="Times New Roman" w:hAnsi="Times New Roman"/>
                <w:b w:val="0"/>
                <w:i w:val="0"/>
                <w:sz w:val="18"/>
              </w:rPr>
              <w:t>30 mm</w:t>
            </w:r>
          </w:p>
        </w:tc>
      </w:tr>
      <w:tr>
        <w:tc>
          <w:tcPr>
            <w:tcW w:type="dxa" w:w="3135"/>
          </w:tcPr>
          <w:p>
            <w:pPr>
              <w:jc w:val="center"/>
            </w:pPr>
            <w:r>
              <w:rPr>
                <w:rFonts w:ascii="Times New Roman" w:hAnsi="Times New Roman"/>
                <w:b w:val="0"/>
                <w:i w:val="0"/>
                <w:sz w:val="18"/>
              </w:rPr>
              <w:t>Ovality (ε)</w:t>
            </w:r>
          </w:p>
        </w:tc>
        <w:tc>
          <w:tcPr>
            <w:tcW w:type="dxa" w:w="3135"/>
          </w:tcPr>
          <w:p>
            <w:pPr>
              <w:jc w:val="center"/>
            </w:pPr>
            <w:r>
              <w:rPr>
                <w:rFonts w:ascii="Times New Roman" w:hAnsi="Times New Roman"/>
                <w:b w:val="0"/>
                <w:i w:val="0"/>
                <w:sz w:val="18"/>
              </w:rPr>
              <w:t>0.5 %</w:t>
            </w:r>
          </w:p>
        </w:tc>
        <w:tc>
          <w:tcPr>
            <w:tcW w:type="dxa" w:w="3135"/>
          </w:tcPr>
          <w:p>
            <w:pPr>
              <w:jc w:val="center"/>
            </w:pPr>
            <w:r>
              <w:rPr>
                <w:rFonts w:ascii="Times New Roman" w:hAnsi="Times New Roman"/>
                <w:b w:val="0"/>
                <w:i w:val="0"/>
                <w:sz w:val="18"/>
              </w:rPr>
              <w:t>1.0 %</w:t>
            </w:r>
          </w:p>
        </w:tc>
      </w:tr>
      <w:tr>
        <w:tc>
          <w:tcPr>
            <w:tcW w:type="dxa" w:w="3135"/>
          </w:tcPr>
          <w:p>
            <w:pPr>
              <w:jc w:val="center"/>
            </w:pPr>
            <w:r>
              <w:rPr>
                <w:rFonts w:ascii="Times New Roman" w:hAnsi="Times New Roman"/>
                <w:b w:val="0"/>
                <w:i w:val="0"/>
                <w:sz w:val="18"/>
              </w:rPr>
              <w:t>Eccentricity (e)</w:t>
            </w:r>
          </w:p>
        </w:tc>
        <w:tc>
          <w:tcPr>
            <w:tcW w:type="dxa" w:w="3135"/>
          </w:tcPr>
          <w:p>
            <w:pPr>
              <w:jc w:val="center"/>
            </w:pPr>
            <w:r>
              <w:rPr>
                <w:rFonts w:ascii="Times New Roman" w:hAnsi="Times New Roman"/>
                <w:b w:val="0"/>
                <w:i w:val="0"/>
                <w:sz w:val="18"/>
              </w:rPr>
              <w:t>10 mm</w:t>
            </w:r>
          </w:p>
        </w:tc>
        <w:tc>
          <w:tcPr>
            <w:tcW w:type="dxa" w:w="3135"/>
          </w:tcPr>
          <w:p>
            <w:pPr>
              <w:jc w:val="center"/>
            </w:pPr>
            <w:r>
              <w:rPr>
                <w:rFonts w:ascii="Times New Roman" w:hAnsi="Times New Roman"/>
                <w:b w:val="0"/>
                <w:i w:val="0"/>
                <w:sz w:val="18"/>
              </w:rPr>
              <w:t>25 mm</w:t>
            </w:r>
          </w:p>
        </w:tc>
      </w:tr>
    </w:tbl>
    <w:p/>
    <w:p>
      <w:r>
        <w:rPr>
          <w:sz w:val="12"/>
        </w:rPr>
        <w:t>────────────────────────────────────────────────────────────</w:t>
      </w:r>
    </w:p>
    <w:p>
      <w:pPr>
        <w:pStyle w:val="Heading1"/>
        <w:jc w:val="left"/>
      </w:pPr>
      <w:r>
        <w:rPr>
          <w:rFonts w:ascii="Times New Roman" w:hAnsi="Times New Roman"/>
          <w:color w:val="000000"/>
          <w:sz w:val="24"/>
        </w:rPr>
        <w:t>VIII. Multi-Epoch Change Detection</w:t>
      </w:r>
    </w:p>
    <w:p>
      <w:pPr>
        <w:spacing w:after="80" w:before="40"/>
      </w:pPr>
      <w:r>
        <w:rPr>
          <w:rFonts w:ascii="Times New Roman" w:hAnsi="Times New Roman"/>
          <w:b w:val="0"/>
          <w:i w:val="0"/>
          <w:sz w:val="20"/>
        </w:rPr>
        <w:t xml:space="preserve">When more than two epochs are available, the </w:t>
      </w:r>
      <w:r>
        <w:rPr>
          <w:rFonts w:ascii="Courier New" w:hAnsi="Courier New"/>
          <w:sz w:val="18"/>
        </w:rPr>
        <w:t>TimeSeriesLayer</w:t>
      </w:r>
      <w:r>
        <w:rPr>
          <w:rFonts w:ascii="Times New Roman" w:hAnsi="Times New Roman"/>
          <w:b w:val="0"/>
          <w:i w:val="0"/>
          <w:sz w:val="20"/>
        </w:rPr>
        <w:t xml:space="preserve"> applies the Multiscale Model-to-Model Cloud Comparison (M3C2) algorithm via </w:t>
      </w:r>
      <w:r>
        <w:rPr>
          <w:rFonts w:ascii="Courier New" w:hAnsi="Courier New"/>
          <w:sz w:val="18"/>
        </w:rPr>
        <w:t>py4dgeo</w:t>
      </w:r>
      <w:r>
        <w:rPr>
          <w:rFonts w:ascii="Times New Roman" w:hAnsi="Times New Roman"/>
          <w:b w:val="0"/>
          <w:i w:val="0"/>
          <w:sz w:val="20"/>
        </w:rPr>
        <w:t>:</w:t>
      </w:r>
    </w:p>
    <w:p>
      <w:pPr>
        <w:pStyle w:val="ListNumber"/>
        <w:ind w:left="432"/>
      </w:pPr>
      <w:r>
        <w:rPr>
          <w:rFonts w:ascii="Times New Roman" w:hAnsi="Times New Roman"/>
          <w:b w:val="0"/>
          <w:i w:val="0"/>
          <w:sz w:val="20"/>
        </w:rPr>
        <w:t>Local surface normals are estimated at each core point in T₀ using a variable-radius neighbourhood.</w:t>
      </w:r>
    </w:p>
    <w:p>
      <w:pPr>
        <w:pStyle w:val="ListNumber"/>
        <w:ind w:left="432"/>
      </w:pPr>
      <w:r>
        <w:rPr>
          <w:rFonts w:ascii="Times New Roman" w:hAnsi="Times New Roman"/>
          <w:b w:val="0"/>
          <w:i w:val="0"/>
          <w:sz w:val="20"/>
        </w:rPr>
        <w:t>The signed distance to Tₙ along the normal direction is computed.</w:t>
      </w:r>
    </w:p>
    <w:p>
      <w:pPr>
        <w:pStyle w:val="ListNumber"/>
        <w:ind w:left="432"/>
      </w:pPr>
      <w:r>
        <w:rPr>
          <w:rFonts w:ascii="Times New Roman" w:hAnsi="Times New Roman"/>
          <w:b w:val="0"/>
          <w:i w:val="0"/>
          <w:sz w:val="20"/>
        </w:rPr>
        <w:t>A Level-of-Detection (LoD) is derived from the local point cloud roughness (standard deviation of the distance distribution within the normal cylinder). Only changes exceeding LoD at 95% confidence are reported as statistically significant.</w:t>
      </w:r>
    </w:p>
    <w:p>
      <w:pPr>
        <w:spacing w:after="80" w:before="40"/>
      </w:pPr>
      <w:r>
        <w:rPr>
          <w:rFonts w:ascii="Times New Roman" w:hAnsi="Times New Roman"/>
          <w:b w:val="0"/>
          <w:i w:val="0"/>
          <w:sz w:val="20"/>
        </w:rPr>
        <w:t>M3C2 preserves the sign of displacement (positive = expansion, negative = settlement), enabling directional deformation mapping that simple Hausdorff distance cannot provide.</w:t>
      </w:r>
    </w:p>
    <w:p>
      <w:r>
        <w:rPr>
          <w:sz w:val="12"/>
        </w:rPr>
        <w:t>────────────────────────────────────────────────────────────</w:t>
      </w:r>
    </w:p>
    <w:p>
      <w:pPr>
        <w:pStyle w:val="Heading1"/>
        <w:jc w:val="left"/>
      </w:pPr>
      <w:r>
        <w:rPr>
          <w:rFonts w:ascii="Times New Roman" w:hAnsi="Times New Roman"/>
          <w:color w:val="000000"/>
          <w:sz w:val="24"/>
        </w:rPr>
        <w:t>IX. Output Generation</w:t>
      </w:r>
    </w:p>
    <w:p>
      <w:pPr>
        <w:pStyle w:val="Heading2"/>
        <w:jc w:val="left"/>
      </w:pPr>
      <w:r>
        <w:rPr>
          <w:rFonts w:ascii="Times New Roman" w:hAnsi="Times New Roman"/>
          <w:color w:val="000000"/>
          <w:sz w:val="22"/>
        </w:rPr>
        <w:t>A. CSV / Excel</w:t>
      </w:r>
    </w:p>
    <w:p>
      <w:pPr>
        <w:spacing w:after="80" w:before="40"/>
      </w:pPr>
      <w:r>
        <w:rPr>
          <w:rFonts w:ascii="Times New Roman" w:hAnsi="Times New Roman"/>
          <w:b w:val="0"/>
          <w:i w:val="0"/>
          <w:sz w:val="20"/>
        </w:rPr>
        <w:t>One row per section: chainage, geometric metrics (H1/H2/H3, W1/W2, radius), deformation metrics (δᵥ, δₕ, ε, e), and clearance status. Excel output includes embedded charts and conditional formatting (green/yellow/red) aligned with the threshold table above.</w:t>
      </w:r>
    </w:p>
    <w:p>
      <w:pPr>
        <w:pStyle w:val="Heading2"/>
        <w:jc w:val="left"/>
      </w:pPr>
      <w:r>
        <w:rPr>
          <w:rFonts w:ascii="Times New Roman" w:hAnsi="Times New Roman"/>
          <w:color w:val="000000"/>
          <w:sz w:val="22"/>
        </w:rPr>
        <w:t>B. PDF Report</w:t>
      </w:r>
    </w:p>
    <w:p>
      <w:pPr>
        <w:spacing w:after="80" w:before="40"/>
      </w:pPr>
      <w:r>
        <w:rPr>
          <w:rFonts w:ascii="Times New Roman" w:hAnsi="Times New Roman"/>
          <w:b w:val="0"/>
          <w:i w:val="0"/>
          <w:sz w:val="20"/>
        </w:rPr>
        <w:t xml:space="preserve">A professional report following the Leica Cyclone 3DR style is generated using </w:t>
      </w:r>
      <w:r>
        <w:rPr>
          <w:rFonts w:ascii="Courier New" w:hAnsi="Courier New"/>
          <w:sz w:val="18"/>
        </w:rPr>
        <w:t>reportlab</w:t>
      </w:r>
      <w:r>
        <w:rPr>
          <w:rFonts w:ascii="Times New Roman" w:hAnsi="Times New Roman"/>
          <w:b w:val="0"/>
          <w:i w:val="0"/>
          <w:sz w:val="20"/>
        </w:rPr>
        <w:t>: cover page (project metadata, engineer, scan date), summary table, per-section cross-section plots (circle fit, polar heatmap), and a prioritised warning list.</w:t>
      </w:r>
    </w:p>
    <w:p>
      <w:pPr>
        <w:pStyle w:val="Heading2"/>
        <w:jc w:val="left"/>
      </w:pPr>
      <w:r>
        <w:rPr>
          <w:rFonts w:ascii="Times New Roman" w:hAnsi="Times New Roman"/>
          <w:color w:val="000000"/>
          <w:sz w:val="22"/>
        </w:rPr>
        <w:t>C. IFC4 / IFC4X3</w:t>
      </w:r>
    </w:p>
    <w:p>
      <w:pPr>
        <w:spacing w:after="80" w:before="40"/>
      </w:pPr>
      <w:r>
        <w:rPr>
          <w:rFonts w:ascii="Times New Roman" w:hAnsi="Times New Roman"/>
          <w:b w:val="0"/>
          <w:i w:val="0"/>
          <w:sz w:val="20"/>
        </w:rPr>
        <w:t>The tunnel geometry is exported as a Building Information Model:</w:t>
      </w:r>
    </w:p>
    <w:p>
      <w:pPr>
        <w:pStyle w:val="ListBullet"/>
        <w:ind w:left="432"/>
      </w:pPr>
      <w:r>
        <w:rPr>
          <w:rFonts w:ascii="Times New Roman" w:hAnsi="Times New Roman"/>
          <w:b w:val="0"/>
          <w:i w:val="0"/>
          <w:sz w:val="20"/>
        </w:rPr>
      </w:r>
      <w:r>
        <w:rPr>
          <w:rFonts w:ascii="Courier New" w:hAnsi="Courier New"/>
          <w:sz w:val="18"/>
        </w:rPr>
        <w:t>IfcAlignment</w:t>
      </w:r>
      <w:r>
        <w:rPr>
          <w:rFonts w:ascii="Times New Roman" w:hAnsi="Times New Roman"/>
          <w:b w:val="0"/>
          <w:i w:val="0"/>
          <w:sz w:val="20"/>
        </w:rPr>
        <w:t xml:space="preserve"> (IFC4X3): Tunnel centerline polyline per the Infrastructure Domain Extension.</w:t>
      </w:r>
    </w:p>
    <w:p>
      <w:pPr>
        <w:pStyle w:val="ListBullet"/>
        <w:ind w:left="432"/>
      </w:pPr>
      <w:r>
        <w:rPr>
          <w:rFonts w:ascii="Times New Roman" w:hAnsi="Times New Roman"/>
          <w:b w:val="0"/>
          <w:i w:val="0"/>
          <w:sz w:val="20"/>
        </w:rPr>
      </w:r>
      <w:r>
        <w:rPr>
          <w:rFonts w:ascii="Courier New" w:hAnsi="Courier New"/>
          <w:sz w:val="18"/>
        </w:rPr>
        <w:t>IfcSweptDiskSolid</w:t>
      </w:r>
      <w:r>
        <w:rPr>
          <w:rFonts w:ascii="Times New Roman" w:hAnsi="Times New Roman"/>
          <w:b w:val="0"/>
          <w:i w:val="0"/>
          <w:sz w:val="20"/>
        </w:rPr>
        <w:t>: Hollow bore model swept along the centerline.</w:t>
      </w:r>
    </w:p>
    <w:p>
      <w:pPr>
        <w:pStyle w:val="ListBullet"/>
        <w:ind w:left="432"/>
      </w:pPr>
      <w:r>
        <w:rPr>
          <w:rFonts w:ascii="Times New Roman" w:hAnsi="Times New Roman"/>
          <w:b w:val="0"/>
          <w:i w:val="0"/>
          <w:sz w:val="20"/>
        </w:rPr>
      </w:r>
      <w:r>
        <w:rPr>
          <w:rFonts w:ascii="Courier New" w:hAnsi="Courier New"/>
          <w:sz w:val="18"/>
        </w:rPr>
        <w:t>IfcSectionedSolidHorizontal</w:t>
      </w:r>
      <w:r>
        <w:rPr>
          <w:rFonts w:ascii="Times New Roman" w:hAnsi="Times New Roman"/>
          <w:b w:val="0"/>
          <w:i w:val="0"/>
          <w:sz w:val="20"/>
        </w:rPr>
        <w:t>: Per-section solids for box or non-circular profiles.</w:t>
      </w:r>
    </w:p>
    <w:p>
      <w:pPr>
        <w:pStyle w:val="ListBullet"/>
        <w:ind w:left="432"/>
      </w:pPr>
      <w:r>
        <w:rPr>
          <w:rFonts w:ascii="Times New Roman" w:hAnsi="Times New Roman"/>
          <w:b w:val="0"/>
          <w:i w:val="0"/>
          <w:sz w:val="20"/>
        </w:rPr>
      </w:r>
      <w:r>
        <w:rPr>
          <w:rFonts w:ascii="Courier New" w:hAnsi="Courier New"/>
          <w:sz w:val="18"/>
        </w:rPr>
        <w:t>IfcWall</w:t>
      </w:r>
      <w:r>
        <w:rPr>
          <w:rFonts w:ascii="Times New Roman" w:hAnsi="Times New Roman"/>
          <w:b w:val="0"/>
          <w:i w:val="0"/>
          <w:sz w:val="20"/>
        </w:rPr>
        <w:t xml:space="preserve"> / </w:t>
      </w:r>
      <w:r>
        <w:rPr>
          <w:rFonts w:ascii="Courier New" w:hAnsi="Courier New"/>
          <w:sz w:val="18"/>
        </w:rPr>
        <w:t>IfcDistributionElement</w:t>
      </w:r>
      <w:r>
        <w:rPr>
          <w:rFonts w:ascii="Times New Roman" w:hAnsi="Times New Roman"/>
          <w:b w:val="0"/>
          <w:i w:val="0"/>
          <w:sz w:val="20"/>
        </w:rPr>
        <w:t>: Detected non-structural components (cables, luminaires, survey targets).</w:t>
      </w:r>
    </w:p>
    <w:p>
      <w:r>
        <w:rPr>
          <w:sz w:val="12"/>
        </w:rPr>
        <w:t>────────────────────────────────────────────────────────────</w:t>
      </w:r>
    </w:p>
    <w:p>
      <w:pPr>
        <w:pStyle w:val="Heading1"/>
        <w:jc w:val="left"/>
      </w:pPr>
      <w:r>
        <w:rPr>
          <w:rFonts w:ascii="Times New Roman" w:hAnsi="Times New Roman"/>
          <w:color w:val="000000"/>
          <w:sz w:val="24"/>
        </w:rPr>
        <w:t>X. AI-Assisted Decision Support</w:t>
      </w:r>
    </w:p>
    <w:p>
      <w:pPr>
        <w:spacing w:after="80" w:before="40"/>
      </w:pPr>
      <w:r>
        <w:rPr>
          <w:rFonts w:ascii="Times New Roman" w:hAnsi="Times New Roman"/>
          <w:b w:val="0"/>
          <w:i w:val="0"/>
          <w:sz w:val="20"/>
        </w:rPr>
        <w:t>A local Retrieval-Augmented Generation (RAG) module (</w:t>
      </w:r>
      <w:r>
        <w:rPr>
          <w:rFonts w:ascii="Courier New" w:hAnsi="Courier New"/>
          <w:sz w:val="18"/>
        </w:rPr>
        <w:t>rag_ai.py</w:t>
      </w:r>
      <w:r>
        <w:rPr>
          <w:rFonts w:ascii="Times New Roman" w:hAnsi="Times New Roman"/>
          <w:b w:val="0"/>
          <w:i w:val="0"/>
          <w:sz w:val="20"/>
        </w:rPr>
        <w:t>) provides engineer-facing analysis summaries:</w:t>
      </w:r>
    </w:p>
    <w:p>
      <w:pPr>
        <w:pStyle w:val="ListNumber"/>
        <w:ind w:left="432"/>
      </w:pPr>
      <w:r>
        <w:rPr>
          <w:rFonts w:ascii="Times New Roman" w:hAnsi="Times New Roman"/>
          <w:b w:val="0"/>
          <w:i w:val="0"/>
          <w:sz w:val="20"/>
        </w:rPr>
        <w:t>A knowledge base of 17 safety standard excerpts (KR C-08080, KDS 27 25 00, NATM, ITA) is embedded using `sentence-transformers` (all-MiniLM-L6-v2) and stored in a ChromaDB vector database.</w:t>
      </w:r>
    </w:p>
    <w:p>
      <w:pPr>
        <w:pStyle w:val="ListNumber"/>
        <w:ind w:left="432"/>
      </w:pPr>
      <w:r>
        <w:rPr>
          <w:rFonts w:ascii="Times New Roman" w:hAnsi="Times New Roman"/>
          <w:b w:val="0"/>
          <w:i w:val="0"/>
          <w:sz w:val="20"/>
        </w:rPr>
        <w:t>For each engineer query, the top-5 most relevant standard excerpts are retrieved by cosine similarity.</w:t>
      </w:r>
    </w:p>
    <w:p>
      <w:pPr>
        <w:pStyle w:val="ListNumber"/>
        <w:ind w:left="432"/>
      </w:pPr>
      <w:r>
        <w:rPr>
          <w:rFonts w:ascii="Times New Roman" w:hAnsi="Times New Roman"/>
          <w:b w:val="0"/>
          <w:i w:val="0"/>
          <w:sz w:val="20"/>
        </w:rPr>
        <w:t>The retrieved standards and current section metrics are concatenated into a structured prompt.</w:t>
      </w:r>
    </w:p>
    <w:p>
      <w:pPr>
        <w:pStyle w:val="ListNumber"/>
        <w:ind w:left="432"/>
      </w:pPr>
      <w:r>
        <w:rPr>
          <w:rFonts w:ascii="Times New Roman" w:hAnsi="Times New Roman"/>
          <w:b w:val="0"/>
          <w:i w:val="0"/>
          <w:sz w:val="20"/>
        </w:rPr>
        <w:t>An on-device LLM (Ollama, `qwen2.5:3b`) generates an assessment: condition evaluation, parameters exceeding thresholds, recommended actions with priority.</w:t>
      </w:r>
    </w:p>
    <w:p>
      <w:pPr>
        <w:spacing w:after="80" w:before="40"/>
      </w:pPr>
      <w:r>
        <w:rPr>
          <w:rFonts w:ascii="Times New Roman" w:hAnsi="Times New Roman"/>
          <w:b w:val="0"/>
          <w:i w:val="0"/>
          <w:sz w:val="20"/>
        </w:rPr>
        <w:t>The entire inference runs locally (GPU-accelerated via CUDA on an NVIDIA RTX 4060 Ti), with no data sent to external servers — an important requirement for infrastructure security.</w:t>
      </w:r>
    </w:p>
    <w:p>
      <w:pPr>
        <w:spacing w:after="80" w:before="40"/>
      </w:pPr>
      <w:r>
        <w:rPr>
          <w:rFonts w:ascii="Times New Roman" w:hAnsi="Times New Roman"/>
          <w:b w:val="0"/>
          <w:i w:val="0"/>
          <w:sz w:val="20"/>
        </w:rPr>
        <w:t>A rule-based offline fallback (</w:t>
      </w:r>
      <w:r>
        <w:rPr>
          <w:rFonts w:ascii="Courier New" w:hAnsi="Courier New"/>
          <w:sz w:val="18"/>
        </w:rPr>
        <w:t>_offline_analysis</w:t>
      </w:r>
      <w:r>
        <w:rPr>
          <w:rFonts w:ascii="Times New Roman" w:hAnsi="Times New Roman"/>
          <w:b w:val="0"/>
          <w:i w:val="0"/>
          <w:sz w:val="20"/>
        </w:rPr>
        <w:t>) is provided for environments where the LLM is unavailable.</w:t>
      </w:r>
    </w:p>
    <w:p>
      <w:r>
        <w:rPr>
          <w:sz w:val="12"/>
        </w:rPr>
        <w:t>────────────────────────────────────────────────────────────</w:t>
      </w:r>
    </w:p>
    <w:p>
      <w:pPr>
        <w:pStyle w:val="Heading1"/>
        <w:jc w:val="left"/>
      </w:pPr>
      <w:r>
        <w:rPr>
          <w:rFonts w:ascii="Times New Roman" w:hAnsi="Times New Roman"/>
          <w:color w:val="000000"/>
          <w:sz w:val="24"/>
        </w:rPr>
        <w:t>XI. Implementation Details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b/>
                <w:i w:val="0"/>
                <w:sz w:val="18"/>
              </w:rPr>
              <w:t>Component</w:t>
            </w:r>
          </w:p>
        </w:tc>
        <w:tc>
          <w:tcPr>
            <w:tcW w:type="dxa" w:w="3135"/>
          </w:tcPr>
          <w:p>
            <w:pPr>
              <w:jc w:val="center"/>
            </w:pPr>
            <w:r>
              <w:rPr>
                <w:rFonts w:ascii="Times New Roman" w:hAnsi="Times New Roman"/>
                <w:b/>
                <w:i w:val="0"/>
                <w:sz w:val="18"/>
              </w:rPr>
              <w:t>Library</w:t>
            </w:r>
          </w:p>
        </w:tc>
        <w:tc>
          <w:tcPr>
            <w:tcW w:type="dxa" w:w="3135"/>
          </w:tcPr>
          <w:p>
            <w:pPr>
              <w:jc w:val="center"/>
            </w:pPr>
            <w:r>
              <w:rPr>
                <w:rFonts w:ascii="Times New Roman" w:hAnsi="Times New Roman"/>
                <w:b/>
                <w:i w:val="0"/>
                <w:sz w:val="18"/>
              </w:rPr>
              <w:t>Version</w:t>
            </w:r>
          </w:p>
        </w:tc>
      </w:tr>
      <w:tr>
        <w:tc>
          <w:tcPr>
            <w:tcW w:type="dxa" w:w="3135"/>
          </w:tcPr>
          <w:p>
            <w:pPr>
              <w:jc w:val="center"/>
            </w:pPr>
            <w:r>
              <w:rPr>
                <w:rFonts w:ascii="Times New Roman" w:hAnsi="Times New Roman"/>
                <w:b w:val="0"/>
                <w:i w:val="0"/>
                <w:sz w:val="18"/>
              </w:rPr>
              <w:t>Point cloud I/O</w:t>
            </w:r>
          </w:p>
        </w:tc>
        <w:tc>
          <w:tcPr>
            <w:tcW w:type="dxa" w:w="3135"/>
          </w:tcPr>
          <w:p>
            <w:pPr>
              <w:jc w:val="center"/>
            </w:pPr>
            <w:r>
              <w:rPr>
                <w:rFonts w:ascii="Times New Roman" w:hAnsi="Times New Roman"/>
                <w:b w:val="0"/>
                <w:i w:val="0"/>
                <w:sz w:val="18"/>
              </w:rPr>
              <w:t>laspy</w:t>
            </w:r>
          </w:p>
        </w:tc>
        <w:tc>
          <w:tcPr>
            <w:tcW w:type="dxa" w:w="3135"/>
          </w:tcPr>
          <w:p>
            <w:pPr>
              <w:jc w:val="center"/>
            </w:pPr>
            <w:r>
              <w:rPr>
                <w:rFonts w:ascii="Times New Roman" w:hAnsi="Times New Roman"/>
                <w:b w:val="0"/>
                <w:i w:val="0"/>
                <w:sz w:val="18"/>
              </w:rPr>
              <w:t>2.7.0</w:t>
            </w:r>
          </w:p>
        </w:tc>
      </w:tr>
      <w:tr>
        <w:tc>
          <w:tcPr>
            <w:tcW w:type="dxa" w:w="3135"/>
          </w:tcPr>
          <w:p>
            <w:pPr>
              <w:jc w:val="center"/>
            </w:pPr>
            <w:r>
              <w:rPr>
                <w:rFonts w:ascii="Times New Roman" w:hAnsi="Times New Roman"/>
                <w:b w:val="0"/>
                <w:i w:val="0"/>
                <w:sz w:val="18"/>
              </w:rPr>
              <w:t>3D processing</w:t>
            </w:r>
          </w:p>
        </w:tc>
        <w:tc>
          <w:tcPr>
            <w:tcW w:type="dxa" w:w="3135"/>
          </w:tcPr>
          <w:p>
            <w:pPr>
              <w:jc w:val="center"/>
            </w:pPr>
            <w:r>
              <w:rPr>
                <w:rFonts w:ascii="Times New Roman" w:hAnsi="Times New Roman"/>
                <w:b w:val="0"/>
                <w:i w:val="0"/>
                <w:sz w:val="18"/>
              </w:rPr>
              <w:t>open3d</w:t>
            </w:r>
          </w:p>
        </w:tc>
        <w:tc>
          <w:tcPr>
            <w:tcW w:type="dxa" w:w="3135"/>
          </w:tcPr>
          <w:p>
            <w:pPr>
              <w:jc w:val="center"/>
            </w:pPr>
            <w:r>
              <w:rPr>
                <w:rFonts w:ascii="Times New Roman" w:hAnsi="Times New Roman"/>
                <w:b w:val="0"/>
                <w:i w:val="0"/>
                <w:sz w:val="18"/>
              </w:rPr>
              <w:t>0.19.0</w:t>
            </w:r>
          </w:p>
        </w:tc>
      </w:tr>
      <w:tr>
        <w:tc>
          <w:tcPr>
            <w:tcW w:type="dxa" w:w="3135"/>
          </w:tcPr>
          <w:p>
            <w:pPr>
              <w:jc w:val="center"/>
            </w:pPr>
            <w:r>
              <w:rPr>
                <w:rFonts w:ascii="Times New Roman" w:hAnsi="Times New Roman"/>
                <w:b w:val="0"/>
                <w:i w:val="0"/>
                <w:sz w:val="18"/>
              </w:rPr>
              <w:t>Fine registration</w:t>
            </w:r>
          </w:p>
        </w:tc>
        <w:tc>
          <w:tcPr>
            <w:tcW w:type="dxa" w:w="3135"/>
          </w:tcPr>
          <w:p>
            <w:pPr>
              <w:jc w:val="center"/>
            </w:pPr>
            <w:r>
              <w:rPr>
                <w:rFonts w:ascii="Times New Roman" w:hAnsi="Times New Roman"/>
                <w:b w:val="0"/>
                <w:i w:val="0"/>
                <w:sz w:val="18"/>
              </w:rPr>
              <w:t>small_gicp</w:t>
            </w:r>
          </w:p>
        </w:tc>
        <w:tc>
          <w:tcPr>
            <w:tcW w:type="dxa" w:w="3135"/>
          </w:tcPr>
          <w:p>
            <w:pPr>
              <w:jc w:val="center"/>
            </w:pPr>
            <w:r>
              <w:rPr>
                <w:rFonts w:ascii="Times New Roman" w:hAnsi="Times New Roman"/>
                <w:b w:val="0"/>
                <w:i w:val="0"/>
                <w:sz w:val="18"/>
              </w:rPr>
              <w:t>1.0.0</w:t>
            </w:r>
          </w:p>
        </w:tc>
      </w:tr>
      <w:tr>
        <w:tc>
          <w:tcPr>
            <w:tcW w:type="dxa" w:w="3135"/>
          </w:tcPr>
          <w:p>
            <w:pPr>
              <w:jc w:val="center"/>
            </w:pPr>
            <w:r>
              <w:rPr>
                <w:rFonts w:ascii="Times New Roman" w:hAnsi="Times New Roman"/>
                <w:b w:val="0"/>
                <w:i w:val="0"/>
                <w:sz w:val="18"/>
              </w:rPr>
              <w:t>M3C2 change detection</w:t>
            </w:r>
          </w:p>
        </w:tc>
        <w:tc>
          <w:tcPr>
            <w:tcW w:type="dxa" w:w="3135"/>
          </w:tcPr>
          <w:p>
            <w:pPr>
              <w:jc w:val="center"/>
            </w:pPr>
            <w:r>
              <w:rPr>
                <w:rFonts w:ascii="Times New Roman" w:hAnsi="Times New Roman"/>
                <w:b w:val="0"/>
                <w:i w:val="0"/>
                <w:sz w:val="18"/>
              </w:rPr>
              <w:t>py4dgeo</w:t>
            </w:r>
          </w:p>
        </w:tc>
        <w:tc>
          <w:tcPr>
            <w:tcW w:type="dxa" w:w="3135"/>
          </w:tcPr>
          <w:p>
            <w:pPr>
              <w:jc w:val="center"/>
            </w:pPr>
            <w:r>
              <w:rPr>
                <w:rFonts w:ascii="Times New Roman" w:hAnsi="Times New Roman"/>
                <w:b w:val="0"/>
                <w:i w:val="0"/>
                <w:sz w:val="18"/>
              </w:rPr>
              <w:t>0.7.0</w:t>
            </w:r>
          </w:p>
        </w:tc>
      </w:tr>
      <w:tr>
        <w:tc>
          <w:tcPr>
            <w:tcW w:type="dxa" w:w="3135"/>
          </w:tcPr>
          <w:p>
            <w:pPr>
              <w:jc w:val="center"/>
            </w:pPr>
            <w:r>
              <w:rPr>
                <w:rFonts w:ascii="Times New Roman" w:hAnsi="Times New Roman"/>
                <w:b w:val="0"/>
                <w:i w:val="0"/>
                <w:sz w:val="18"/>
              </w:rPr>
              <w:t>Clustering</w:t>
            </w:r>
          </w:p>
        </w:tc>
        <w:tc>
          <w:tcPr>
            <w:tcW w:type="dxa" w:w="3135"/>
          </w:tcPr>
          <w:p>
            <w:pPr>
              <w:jc w:val="center"/>
            </w:pPr>
            <w:r>
              <w:rPr>
                <w:rFonts w:ascii="Times New Roman" w:hAnsi="Times New Roman"/>
                <w:b w:val="0"/>
                <w:i w:val="0"/>
                <w:sz w:val="18"/>
              </w:rPr>
              <w:t>scikit-learn</w:t>
            </w:r>
          </w:p>
        </w:tc>
        <w:tc>
          <w:tcPr>
            <w:tcW w:type="dxa" w:w="3135"/>
          </w:tcPr>
          <w:p>
            <w:pPr>
              <w:jc w:val="center"/>
            </w:pPr>
            <w:r>
              <w:rPr>
                <w:rFonts w:ascii="Times New Roman" w:hAnsi="Times New Roman"/>
                <w:b w:val="0"/>
                <w:i w:val="0"/>
                <w:sz w:val="18"/>
              </w:rPr>
              <w:t>1.8.0</w:t>
            </w:r>
          </w:p>
        </w:tc>
      </w:tr>
      <w:tr>
        <w:tc>
          <w:tcPr>
            <w:tcW w:type="dxa" w:w="3135"/>
          </w:tcPr>
          <w:p>
            <w:pPr>
              <w:jc w:val="center"/>
            </w:pPr>
            <w:r>
              <w:rPr>
                <w:rFonts w:ascii="Times New Roman" w:hAnsi="Times New Roman"/>
                <w:b w:val="0"/>
                <w:i w:val="0"/>
                <w:sz w:val="18"/>
              </w:rPr>
              <w:t>BIM export</w:t>
            </w:r>
          </w:p>
        </w:tc>
        <w:tc>
          <w:tcPr>
            <w:tcW w:type="dxa" w:w="3135"/>
          </w:tcPr>
          <w:p>
            <w:pPr>
              <w:jc w:val="center"/>
            </w:pPr>
            <w:r>
              <w:rPr>
                <w:rFonts w:ascii="Times New Roman" w:hAnsi="Times New Roman"/>
                <w:b w:val="0"/>
                <w:i w:val="0"/>
                <w:sz w:val="18"/>
              </w:rPr>
              <w:t>ifcopenshell</w:t>
            </w:r>
          </w:p>
        </w:tc>
        <w:tc>
          <w:tcPr>
            <w:tcW w:type="dxa" w:w="3135"/>
          </w:tcPr>
          <w:p>
            <w:pPr>
              <w:jc w:val="center"/>
            </w:pPr>
            <w:r>
              <w:rPr>
                <w:rFonts w:ascii="Times New Roman" w:hAnsi="Times New Roman"/>
                <w:b w:val="0"/>
                <w:i w:val="0"/>
                <w:sz w:val="18"/>
              </w:rPr>
              <w:t>0.8.5</w:t>
            </w:r>
          </w:p>
        </w:tc>
      </w:tr>
      <w:tr>
        <w:tc>
          <w:tcPr>
            <w:tcW w:type="dxa" w:w="3135"/>
          </w:tcPr>
          <w:p>
            <w:pPr>
              <w:jc w:val="center"/>
            </w:pPr>
            <w:r>
              <w:rPr>
                <w:rFonts w:ascii="Times New Roman" w:hAnsi="Times New Roman"/>
                <w:b w:val="0"/>
                <w:i w:val="0"/>
                <w:sz w:val="18"/>
              </w:rPr>
              <w:t>Vector database</w:t>
            </w:r>
          </w:p>
        </w:tc>
        <w:tc>
          <w:tcPr>
            <w:tcW w:type="dxa" w:w="3135"/>
          </w:tcPr>
          <w:p>
            <w:pPr>
              <w:jc w:val="center"/>
            </w:pPr>
            <w:r>
              <w:rPr>
                <w:rFonts w:ascii="Times New Roman" w:hAnsi="Times New Roman"/>
                <w:b w:val="0"/>
                <w:i w:val="0"/>
                <w:sz w:val="18"/>
              </w:rPr>
              <w:t>chromadb</w:t>
            </w:r>
          </w:p>
        </w:tc>
        <w:tc>
          <w:tcPr>
            <w:tcW w:type="dxa" w:w="3135"/>
          </w:tcPr>
          <w:p>
            <w:pPr>
              <w:jc w:val="center"/>
            </w:pPr>
            <w:r>
              <w:rPr>
                <w:rFonts w:ascii="Times New Roman" w:hAnsi="Times New Roman"/>
                <w:b w:val="0"/>
                <w:i w:val="0"/>
                <w:sz w:val="18"/>
              </w:rPr>
              <w:t>latest</w:t>
            </w:r>
          </w:p>
        </w:tc>
      </w:tr>
      <w:tr>
        <w:tc>
          <w:tcPr>
            <w:tcW w:type="dxa" w:w="3135"/>
          </w:tcPr>
          <w:p>
            <w:pPr>
              <w:jc w:val="center"/>
            </w:pPr>
            <w:r>
              <w:rPr>
                <w:rFonts w:ascii="Times New Roman" w:hAnsi="Times New Roman"/>
                <w:b w:val="0"/>
                <w:i w:val="0"/>
                <w:sz w:val="18"/>
              </w:rPr>
              <w:t>Embeddings</w:t>
            </w:r>
          </w:p>
        </w:tc>
        <w:tc>
          <w:tcPr>
            <w:tcW w:type="dxa" w:w="3135"/>
          </w:tcPr>
          <w:p>
            <w:pPr>
              <w:jc w:val="center"/>
            </w:pPr>
            <w:r>
              <w:rPr>
                <w:rFonts w:ascii="Times New Roman" w:hAnsi="Times New Roman"/>
                <w:b w:val="0"/>
                <w:i w:val="0"/>
                <w:sz w:val="18"/>
              </w:rPr>
              <w:t>sentence-transformers</w:t>
            </w:r>
          </w:p>
        </w:tc>
        <w:tc>
          <w:tcPr>
            <w:tcW w:type="dxa" w:w="3135"/>
          </w:tcPr>
          <w:p>
            <w:pPr>
              <w:jc w:val="center"/>
            </w:pPr>
            <w:r>
              <w:rPr>
                <w:rFonts w:ascii="Times New Roman" w:hAnsi="Times New Roman"/>
                <w:b w:val="0"/>
                <w:i w:val="0"/>
                <w:sz w:val="18"/>
              </w:rPr>
              <w:t>latest</w:t>
            </w:r>
          </w:p>
        </w:tc>
      </w:tr>
      <w:tr>
        <w:tc>
          <w:tcPr>
            <w:tcW w:type="dxa" w:w="3135"/>
          </w:tcPr>
          <w:p>
            <w:pPr>
              <w:jc w:val="center"/>
            </w:pPr>
            <w:r>
              <w:rPr>
                <w:rFonts w:ascii="Times New Roman" w:hAnsi="Times New Roman"/>
                <w:b w:val="0"/>
                <w:i w:val="0"/>
                <w:sz w:val="18"/>
              </w:rPr>
              <w:t>Local LLM</w:t>
            </w:r>
          </w:p>
        </w:tc>
        <w:tc>
          <w:tcPr>
            <w:tcW w:type="dxa" w:w="3135"/>
          </w:tcPr>
          <w:p>
            <w:pPr>
              <w:jc w:val="center"/>
            </w:pPr>
            <w:r>
              <w:rPr>
                <w:rFonts w:ascii="Times New Roman" w:hAnsi="Times New Roman"/>
                <w:b w:val="0"/>
                <w:i w:val="0"/>
                <w:sz w:val="18"/>
              </w:rPr>
              <w:t>Ollama (qwen2.5:3b)</w:t>
            </w:r>
          </w:p>
        </w:tc>
        <w:tc>
          <w:tcPr>
            <w:tcW w:type="dxa" w:w="3135"/>
          </w:tcPr>
          <w:p>
            <w:pPr>
              <w:jc w:val="center"/>
            </w:pPr>
            <w:r>
              <w:rPr>
                <w:rFonts w:ascii="Times New Roman" w:hAnsi="Times New Roman"/>
                <w:b w:val="0"/>
                <w:i w:val="0"/>
                <w:sz w:val="18"/>
              </w:rPr>
              <w:t>0.30.5</w:t>
            </w:r>
          </w:p>
        </w:tc>
      </w:tr>
      <w:tr>
        <w:tc>
          <w:tcPr>
            <w:tcW w:type="dxa" w:w="3135"/>
          </w:tcPr>
          <w:p>
            <w:pPr>
              <w:jc w:val="center"/>
            </w:pPr>
            <w:r>
              <w:rPr>
                <w:rFonts w:ascii="Times New Roman" w:hAnsi="Times New Roman"/>
                <w:b w:val="0"/>
                <w:i w:val="0"/>
                <w:sz w:val="18"/>
              </w:rPr>
              <w:t>GUI</w:t>
            </w:r>
          </w:p>
        </w:tc>
        <w:tc>
          <w:tcPr>
            <w:tcW w:type="dxa" w:w="3135"/>
          </w:tcPr>
          <w:p>
            <w:pPr>
              <w:jc w:val="center"/>
            </w:pPr>
            <w:r>
              <w:rPr>
                <w:rFonts w:ascii="Times New Roman" w:hAnsi="Times New Roman"/>
                <w:b w:val="0"/>
                <w:i w:val="0"/>
                <w:sz w:val="18"/>
              </w:rPr>
              <w:t>PySide6</w:t>
            </w:r>
          </w:p>
        </w:tc>
        <w:tc>
          <w:tcPr>
            <w:tcW w:type="dxa" w:w="3135"/>
          </w:tcPr>
          <w:p>
            <w:pPr>
              <w:jc w:val="center"/>
            </w:pPr>
            <w:r>
              <w:rPr>
                <w:rFonts w:ascii="Times New Roman" w:hAnsi="Times New Roman"/>
                <w:b w:val="0"/>
                <w:i w:val="0"/>
                <w:sz w:val="18"/>
              </w:rPr>
              <w:t>6.11.0</w:t>
            </w:r>
          </w:p>
        </w:tc>
      </w:tr>
      <w:tr>
        <w:tc>
          <w:tcPr>
            <w:tcW w:type="dxa" w:w="3135"/>
          </w:tcPr>
          <w:p>
            <w:pPr>
              <w:jc w:val="center"/>
            </w:pPr>
            <w:r>
              <w:rPr>
                <w:rFonts w:ascii="Times New Roman" w:hAnsi="Times New Roman"/>
                <w:b w:val="0"/>
                <w:i w:val="0"/>
                <w:sz w:val="18"/>
              </w:rPr>
              <w:t>Containerisation</w:t>
            </w:r>
          </w:p>
        </w:tc>
        <w:tc>
          <w:tcPr>
            <w:tcW w:type="dxa" w:w="3135"/>
          </w:tcPr>
          <w:p>
            <w:pPr>
              <w:jc w:val="center"/>
            </w:pPr>
            <w:r>
              <w:rPr>
                <w:rFonts w:ascii="Times New Roman" w:hAnsi="Times New Roman"/>
                <w:b w:val="0"/>
                <w:i w:val="0"/>
                <w:sz w:val="18"/>
              </w:rPr>
              <w:t>Docker Compose</w:t>
            </w:r>
          </w:p>
        </w:tc>
        <w:tc>
          <w:tcPr>
            <w:tcW w:type="dxa" w:w="3135"/>
          </w:tcPr>
          <w:p>
            <w:pPr>
              <w:jc w:val="center"/>
            </w:pPr>
            <w:r>
              <w:rPr>
                <w:rFonts w:ascii="Times New Roman" w:hAnsi="Times New Roman"/>
                <w:b w:val="0"/>
                <w:i w:val="0"/>
                <w:sz w:val="18"/>
              </w:rPr>
              <w:t>29.2.1</w:t>
            </w:r>
          </w:p>
        </w:tc>
      </w:tr>
    </w:tbl>
    <w:p/>
    <w:p>
      <w:pPr>
        <w:spacing w:after="80" w:before="40"/>
      </w:pPr>
      <w:r>
        <w:rPr>
          <w:rFonts w:ascii="Times New Roman" w:hAnsi="Times New Roman"/>
          <w:b w:val="0"/>
          <w:i w:val="0"/>
          <w:sz w:val="20"/>
        </w:rPr>
        <w:t>The system runs on Windows 11 with a 32 GB RAM workstation and NVIDIA RTX 4060 Ti (8 GB VRAM). Docker Compose is used to isolate Ollama and ChromaDB services, with GPU passthrough enabled via the NVIDIA Container Toolkit.</w:t>
      </w:r>
    </w:p>
    <w:p>
      <w:r>
        <w:rPr>
          <w:sz w:val="12"/>
        </w:rPr>
        <w:t>────────────────────────────────────────────────────────────</w:t>
      </w:r>
    </w:p>
    <w:p>
      <w:pPr>
        <w:pStyle w:val="Heading1"/>
        <w:jc w:val="left"/>
      </w:pPr>
      <w:r>
        <w:rPr>
          <w:rFonts w:ascii="Times New Roman" w:hAnsi="Times New Roman"/>
          <w:color w:val="000000"/>
          <w:sz w:val="24"/>
        </w:rPr>
        <w:t>XII. Conclusion</w:t>
      </w:r>
    </w:p>
    <w:p>
      <w:pPr>
        <w:spacing w:after="80" w:before="40"/>
      </w:pPr>
      <w:r>
        <w:rPr>
          <w:rFonts w:ascii="Times New Roman" w:hAnsi="Times New Roman"/>
          <w:b w:val="0"/>
          <w:i w:val="0"/>
          <w:sz w:val="20"/>
        </w:rPr>
        <w:t>This paper presented the SSL Smart Tunnel Monitoring System, a Python-based LiDAR analysis pipeline targeting underground tunnel SHM. The main contributions are:</w:t>
      </w:r>
    </w:p>
    <w:p>
      <w:pPr>
        <w:pStyle w:val="ListNumber"/>
        <w:ind w:left="432"/>
      </w:pPr>
      <w:r>
        <w:rPr>
          <w:rFonts w:ascii="Times New Roman" w:hAnsi="Times New Roman"/>
          <w:b w:val="0"/>
          <w:i w:val="0"/>
          <w:sz w:val="20"/>
        </w:rPr>
        <w:t>**Three-stage auto-denoising** that eliminates cables, fixtures, and personnel without labelled data, reducing manual preprocessing time from hours to seconds.</w:t>
      </w:r>
    </w:p>
    <w:p>
      <w:pPr>
        <w:pStyle w:val="ListNumber"/>
        <w:ind w:left="432"/>
      </w:pPr>
      <w:r>
        <w:rPr>
          <w:rFonts w:ascii="Times New Roman" w:hAnsi="Times New Roman"/>
          <w:b w:val="0"/>
          <w:i w:val="0"/>
          <w:sz w:val="20"/>
        </w:rPr>
        <w:t>**Frenet-frame cross-section extraction** that guarantees geometric orthogonality, removing a systematic ovality bias present in axis-aligned slicing methods.</w:t>
      </w:r>
    </w:p>
    <w:p>
      <w:pPr>
        <w:pStyle w:val="ListNumber"/>
        <w:ind w:left="432"/>
      </w:pPr>
      <w:r>
        <w:rPr>
          <w:rFonts w:ascii="Times New Roman" w:hAnsi="Times New Roman"/>
          <w:b w:val="0"/>
          <w:i w:val="0"/>
          <w:sz w:val="20"/>
        </w:rPr>
        <w:t>**M3C2-based multi-epoch change detection** with statistically principled Level-of-Detection thresholding.</w:t>
      </w:r>
    </w:p>
    <w:p>
      <w:pPr>
        <w:pStyle w:val="ListNumber"/>
        <w:ind w:left="432"/>
      </w:pPr>
      <w:r>
        <w:rPr>
          <w:rFonts w:ascii="Times New Roman" w:hAnsi="Times New Roman"/>
          <w:b w:val="0"/>
          <w:i w:val="0"/>
          <w:sz w:val="20"/>
        </w:rPr>
        <w:t>**Local RAG-LLM integration** that provides engineer-readable assessment summaries from structured measurement data, running entirely on-device.</w:t>
      </w:r>
    </w:p>
    <w:p>
      <w:pPr>
        <w:pStyle w:val="ListNumber"/>
        <w:ind w:left="432"/>
      </w:pPr>
      <w:r>
        <w:rPr>
          <w:rFonts w:ascii="Times New Roman" w:hAnsi="Times New Roman"/>
          <w:b w:val="0"/>
          <w:i w:val="0"/>
          <w:sz w:val="20"/>
        </w:rPr>
        <w:t>**Full IFC4X3 export** enabling direct integration with BIM workflows.</w:t>
      </w:r>
    </w:p>
    <w:p>
      <w:pPr>
        <w:spacing w:after="80" w:before="40"/>
      </w:pPr>
      <w:r>
        <w:rPr>
          <w:rFonts w:ascii="Times New Roman" w:hAnsi="Times New Roman"/>
          <w:b w:val="0"/>
          <w:i w:val="0"/>
          <w:sz w:val="20"/>
        </w:rPr>
        <w:t>Future work includes real-time monitoring via the integrated web dashboard, extension to non-circular (horseshoe) tunnel profiles, and benchmarking on STSD semantic datasets for auto-denoising accuracy evaluation.</w:t>
      </w:r>
    </w:p>
    <w:p>
      <w:r>
        <w:rPr>
          <w:sz w:val="12"/>
        </w:rPr>
        <w:t>────────────────────────────────────────────────────────────</w:t>
      </w:r>
    </w:p>
    <w:p>
      <w:pPr>
        <w:pStyle w:val="Heading1"/>
        <w:jc w:val="left"/>
      </w:pPr>
      <w:r>
        <w:rPr>
          <w:rFonts w:ascii="Times New Roman" w:hAnsi="Times New Roman"/>
          <w:color w:val="000000"/>
          <w:sz w:val="24"/>
        </w:rPr>
        <w:t>References</w:t>
      </w:r>
    </w:p>
    <w:p>
      <w:pPr>
        <w:spacing w:after="80" w:before="40"/>
      </w:pPr>
      <w:r>
        <w:rPr>
          <w:rFonts w:ascii="Times New Roman" w:hAnsi="Times New Roman"/>
          <w:b w:val="0"/>
          <w:i w:val="0"/>
          <w:sz w:val="20"/>
        </w:rPr>
        <w:t>[1] Korean Railway Safety Standards KR C-08080, Korea National Railway, 2020.</w:t>
      </w:r>
    </w:p>
    <w:p>
      <w:pPr>
        <w:spacing w:after="80" w:before="40"/>
      </w:pPr>
      <w:r>
        <w:rPr>
          <w:rFonts w:ascii="Times New Roman" w:hAnsi="Times New Roman"/>
          <w:b w:val="0"/>
          <w:i w:val="0"/>
          <w:sz w:val="20"/>
        </w:rPr>
        <w:t>[2] Korean Design Standard for Tunnels KDS 27 25 00, Ministry of Land, Infrastructure and Transport, 2021.</w:t>
      </w:r>
    </w:p>
    <w:p>
      <w:pPr>
        <w:spacing w:after="80" w:before="40"/>
      </w:pPr>
      <w:r>
        <w:rPr>
          <w:rFonts w:ascii="Times New Roman" w:hAnsi="Times New Roman"/>
          <w:b w:val="0"/>
          <w:i w:val="0"/>
          <w:sz w:val="20"/>
        </w:rPr>
        <w:t xml:space="preserve">[3] ITA Working Group 2, "Guidelines for the Design of Tunnels," </w:t>
      </w:r>
      <w:r>
        <w:rPr>
          <w:rFonts w:ascii="Times New Roman" w:hAnsi="Times New Roman"/>
          <w:b w:val="0"/>
          <w:i/>
          <w:sz w:val="20"/>
        </w:rPr>
        <w:t>ITA Report</w:t>
      </w:r>
      <w:r>
        <w:rPr>
          <w:rFonts w:ascii="Times New Roman" w:hAnsi="Times New Roman"/>
          <w:b w:val="0"/>
          <w:i w:val="0"/>
          <w:sz w:val="20"/>
        </w:rPr>
        <w:t>, 2019.</w:t>
      </w:r>
    </w:p>
    <w:p>
      <w:pPr>
        <w:spacing w:after="80" w:before="40"/>
      </w:pPr>
      <w:r>
        <w:rPr>
          <w:rFonts w:ascii="Times New Roman" w:hAnsi="Times New Roman"/>
          <w:b w:val="0"/>
          <w:i w:val="0"/>
          <w:sz w:val="20"/>
        </w:rPr>
        <w:t xml:space="preserve">[4] Lague, D., Brodu, N., Leroux, J., "Accurate 3D comparison of complex topography with terrestrial laser scanner: Application to the Rangitikei canyon (N-Z)," </w:t>
      </w:r>
      <w:r>
        <w:rPr>
          <w:rFonts w:ascii="Times New Roman" w:hAnsi="Times New Roman"/>
          <w:b w:val="0"/>
          <w:i/>
          <w:sz w:val="20"/>
        </w:rPr>
        <w:t>ISPRS J. Photogramm. Remote Sens.</w:t>
      </w:r>
      <w:r>
        <w:rPr>
          <w:rFonts w:ascii="Times New Roman" w:hAnsi="Times New Roman"/>
          <w:b w:val="0"/>
          <w:i w:val="0"/>
          <w:sz w:val="20"/>
        </w:rPr>
        <w:t>, 2013.</w:t>
      </w:r>
    </w:p>
    <w:p>
      <w:pPr>
        <w:spacing w:after="80" w:before="40"/>
      </w:pPr>
      <w:r>
        <w:rPr>
          <w:rFonts w:ascii="Times New Roman" w:hAnsi="Times New Roman"/>
          <w:b w:val="0"/>
          <w:i w:val="0"/>
          <w:sz w:val="20"/>
        </w:rPr>
        <w:t xml:space="preserve">[5] Segal, A., Haehnel, D., Thrun, S., "Generalized-ICP," </w:t>
      </w:r>
      <w:r>
        <w:rPr>
          <w:rFonts w:ascii="Times New Roman" w:hAnsi="Times New Roman"/>
          <w:b w:val="0"/>
          <w:i/>
          <w:sz w:val="20"/>
        </w:rPr>
        <w:t>RSS</w:t>
      </w:r>
      <w:r>
        <w:rPr>
          <w:rFonts w:ascii="Times New Roman" w:hAnsi="Times New Roman"/>
          <w:b w:val="0"/>
          <w:i w:val="0"/>
          <w:sz w:val="20"/>
        </w:rPr>
        <w:t>, 2009.</w:t>
      </w:r>
    </w:p>
    <w:p>
      <w:pPr>
        <w:spacing w:after="80" w:before="40"/>
      </w:pPr>
      <w:r>
        <w:rPr>
          <w:rFonts w:ascii="Times New Roman" w:hAnsi="Times New Roman"/>
          <w:b w:val="0"/>
          <w:i w:val="0"/>
          <w:sz w:val="20"/>
        </w:rPr>
        <w:t xml:space="preserve">[6] Rusu, R.B., Blodow, N., Beetz, M., "Fast Point Feature Histograms (FPFH) for 3D Registration," </w:t>
      </w:r>
      <w:r>
        <w:rPr>
          <w:rFonts w:ascii="Times New Roman" w:hAnsi="Times New Roman"/>
          <w:b w:val="0"/>
          <w:i/>
          <w:sz w:val="20"/>
        </w:rPr>
        <w:t>ICRA</w:t>
      </w:r>
      <w:r>
        <w:rPr>
          <w:rFonts w:ascii="Times New Roman" w:hAnsi="Times New Roman"/>
          <w:b w:val="0"/>
          <w:i w:val="0"/>
          <w:sz w:val="20"/>
        </w:rPr>
        <w:t>, 2009.</w:t>
      </w:r>
    </w:p>
    <w:p>
      <w:pPr>
        <w:spacing w:after="80" w:before="40"/>
      </w:pPr>
      <w:r>
        <w:rPr>
          <w:rFonts w:ascii="Times New Roman" w:hAnsi="Times New Roman"/>
          <w:b w:val="0"/>
          <w:i w:val="0"/>
          <w:sz w:val="20"/>
        </w:rPr>
        <w:t xml:space="preserve">[7] Fitzgibbon, A., Pilu, M., Fisher, R.B., "Direct Least Square Fitting of Ellipses," </w:t>
      </w:r>
      <w:r>
        <w:rPr>
          <w:rFonts w:ascii="Times New Roman" w:hAnsi="Times New Roman"/>
          <w:b w:val="0"/>
          <w:i/>
          <w:sz w:val="20"/>
        </w:rPr>
        <w:t>IEEE Trans. Pattern Anal.</w:t>
      </w:r>
      <w:r>
        <w:rPr>
          <w:rFonts w:ascii="Times New Roman" w:hAnsi="Times New Roman"/>
          <w:b w:val="0"/>
          <w:i w:val="0"/>
          <w:sz w:val="20"/>
        </w:rPr>
        <w:t>, 1999.</w:t>
      </w:r>
    </w:p>
    <w:p>
      <w:pPr>
        <w:spacing w:after="80" w:before="40"/>
      </w:pPr>
      <w:r>
        <w:rPr>
          <w:rFonts w:ascii="Times New Roman" w:hAnsi="Times New Roman"/>
          <w:b w:val="0"/>
          <w:i w:val="0"/>
          <w:sz w:val="20"/>
        </w:rPr>
        <w:t>[8] Lewis, P., et al., "Industry Foundation Classes IFC4X3," buildingSMART International, 2023.</w:t>
      </w:r>
    </w:p>
    <w:p>
      <w:pPr>
        <w:spacing w:after="80" w:before="40"/>
      </w:pPr>
      <w:r>
        <w:rPr>
          <w:rFonts w:ascii="Times New Roman" w:hAnsi="Times New Roman"/>
          <w:b w:val="0"/>
          <w:i w:val="0"/>
          <w:sz w:val="20"/>
        </w:rPr>
        <w:t xml:space="preserve">[9] Chen, Y., Medioni, G., "Object modelling by registration of multiple range images," </w:t>
      </w:r>
      <w:r>
        <w:rPr>
          <w:rFonts w:ascii="Times New Roman" w:hAnsi="Times New Roman"/>
          <w:b w:val="0"/>
          <w:i/>
          <w:sz w:val="20"/>
        </w:rPr>
        <w:t>Image Vision Comput.</w:t>
      </w:r>
      <w:r>
        <w:rPr>
          <w:rFonts w:ascii="Times New Roman" w:hAnsi="Times New Roman"/>
          <w:b w:val="0"/>
          <w:i w:val="0"/>
          <w:sz w:val="20"/>
        </w:rPr>
        <w:t>, 1992.</w:t>
      </w:r>
    </w:p>
    <w:p>
      <w:pPr>
        <w:spacing w:after="80" w:before="40"/>
      </w:pPr>
      <w:r>
        <w:rPr>
          <w:rFonts w:ascii="Times New Roman" w:hAnsi="Times New Roman"/>
          <w:b w:val="0"/>
          <w:i w:val="0"/>
          <w:sz w:val="20"/>
        </w:rPr>
        <w:t xml:space="preserve">[10] Lewis, M., et al., "Retrieval-Augmented Generation for Knowledge-Intensive NLP Tasks," </w:t>
      </w:r>
      <w:r>
        <w:rPr>
          <w:rFonts w:ascii="Times New Roman" w:hAnsi="Times New Roman"/>
          <w:b w:val="0"/>
          <w:i/>
          <w:sz w:val="20"/>
        </w:rPr>
        <w:t>NeurIPS</w:t>
      </w:r>
      <w:r>
        <w:rPr>
          <w:rFonts w:ascii="Times New Roman" w:hAnsi="Times New Roman"/>
          <w:b w:val="0"/>
          <w:i w:val="0"/>
          <w:sz w:val="20"/>
        </w:rPr>
        <w:t>, 2020.</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