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Calibri" w:cs="Calibri" w:eastAsia="Calibri" w:hAnsi="Calibri"/>
          <w:b/>
          <w:bCs/>
          <w:color w:val="0D1B3E"/>
          <w:sz w:val="56"/>
          <w:szCs w:val="56"/>
        </w:rPr>
        <w:t xml:space="preserve">BlackRock, Inc. (NYSE: BLK)</w:t>
      </w:r>
    </w:p>
    <w:p>
      <w:pPr>
        <w:spacing w:after="80" w:before="0"/>
      </w:pPr>
      <w:r>
        <w:rPr>
          <w:rFonts w:ascii="Calibri" w:cs="Calibri" w:eastAsia="Calibri" w:hAnsi="Calibri"/>
          <w:b w:val="false"/>
          <w:bCs w:val="false"/>
          <w:color w:val="C8A84B"/>
          <w:sz w:val="44"/>
          <w:szCs w:val="44"/>
        </w:rPr>
        <w:t xml:space="preserve">DCF Model Scenario Assumptions</w:t>
      </w:r>
    </w:p>
    <w:p>
      <w:pPr>
        <w:spacing w:after="160" w:before="0"/>
      </w:pPr>
      <w:r>
        <w:rPr>
          <w:rFonts w:ascii="Calibri" w:cs="Calibri" w:eastAsia="Calibri" w:hAnsi="Calibri"/>
          <w:color w:val="5A5A5A"/>
          <w:sz w:val="24"/>
          <w:szCs w:val="24"/>
        </w:rPr>
        <w:t xml:space="preserve">Bear / Base / Bull  ·  Revenue · Margins · Reinvestment · Exit Multiples</w:t>
      </w:r>
    </w:p>
    <w:p>
      <w:pPr>
        <w:pBdr>
          <w:bottom w:val="single" w:color="C8A84B" w:sz="6"/>
        </w:pBdr>
        <w:spacing w:after="120" w:before="120"/>
      </w:pPr>
    </w:p>
    <w:p>
      <w:pPr>
        <w:spacing w:after="40" w:before="80"/>
      </w:pPr>
      <w:r>
        <w:rPr>
          <w:rFonts w:ascii="Calibri" w:cs="Calibri" w:eastAsia="Calibri" w:hAnsi="Calibri"/>
          <w:b/>
          <w:bCs/>
          <w:color w:val="0D1B3E"/>
          <w:sz w:val="20"/>
          <w:szCs w:val="20"/>
        </w:rPr>
        <w:t xml:space="preserve">Nicholas Hawkins  |  Hawkins Holdings  |  April 3, 2026</w:t>
      </w:r>
    </w:p>
    <w:p>
      <w:pPr>
        <w:spacing w:after="40" w:before="0"/>
      </w:pPr>
      <w:r>
        <w:rPr>
          <w:rFonts w:ascii="Calibri" w:cs="Calibri" w:eastAsia="Calibri" w:hAnsi="Calibri"/>
          <w:i/>
          <w:iCs/>
          <w:color w:val="5A5A5A"/>
          <w:sz w:val="20"/>
          <w:szCs w:val="20"/>
        </w:rPr>
        <w:t xml:space="preserve">Perplexity Pitch Contest 2026  —  Long Investment Thesis</w:t>
      </w:r>
    </w:p>
    <w:p>
      <w:pPr>
        <w:spacing w:after="400" w:before="40"/>
      </w:pPr>
      <w:r>
        <w:rPr>
          <w:rFonts w:ascii="Calibri" w:cs="Calibri" w:eastAsia="Calibri" w:hAnsi="Calibri"/>
          <w:color w:val="5A5A5A"/>
          <w:sz w:val="18"/>
          <w:szCs w:val="18"/>
        </w:rPr>
        <w:t xml:space="preserve">Repository: </w:t>
      </w:r>
      <w:hyperlink w:history="1" r:id="rIdoe8jpmx1xolmh9f3j4zzl">
        <w:r>
          <w:rPr>
            <w:rStyle w:val="Hyperlink"/>
            <w:rFonts w:ascii="Calibri" w:cs="Calibri" w:eastAsia="Calibri" w:hAnsi="Calibri"/>
            <w:sz w:val="18"/>
            <w:szCs w:val="18"/>
          </w:rPr>
          <w:t xml:space="preserve">github.com/ndhthecatalyst/Perplexity-Pitch-Contest-Blackrock-Long-Position</w:t>
        </w:r>
      </w:hyperlink>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D1B3E"/>
        </w:rPr>
        <w:t xml:space="preserve">1. Overview &amp; Purpose</w:t>
      </w:r>
    </w:p>
    <w:p>
      <w:pPr>
        <w:pBdr>
          <w:bottom w:val="single" w:color="C8A84B" w:sz="6"/>
        </w:pBdr>
        <w:spacing w:after="120" w:before="120"/>
      </w:pPr>
    </w:p>
    <w:p>
      <w:pPr>
        <w:spacing w:after="60" w:before="60"/>
      </w:pPr>
      <w:r>
        <w:rPr>
          <w:rFonts w:ascii="Calibri" w:cs="Calibri" w:eastAsia="Calibri" w:hAnsi="Calibri"/>
          <w:b w:val="false"/>
          <w:bCs w:val="false"/>
          <w:color w:val="000000"/>
          <w:sz w:val="20"/>
          <w:szCs w:val="20"/>
        </w:rPr>
        <w:t xml:space="preserve">This document provides the explicit numeric assumptions for the three-scenario Discounted Cash Flow (DCF) model supporting the BlackRock (BLK) long investment thesis, as specified in the BLK 2026 Perplexity Implementation Plan. All inputs are derived from primary sources: BlackRock SEC filings, Q4 2025 earnings materials, Larry Fink's 2026 annual letter, and sell-side consensus data.</w:t>
      </w:r>
    </w:p>
    <w:p>
      <w:pPr>
        <w:spacing w:after="60" w:before="120"/>
      </w:pPr>
      <w:r>
        <w:rPr>
          <w:rFonts w:ascii="Calibri" w:cs="Calibri" w:eastAsia="Calibri" w:hAnsi="Calibri"/>
          <w:b w:val="false"/>
          <w:bCs w:val="false"/>
          <w:color w:val="000000"/>
          <w:sz w:val="20"/>
          <w:szCs w:val="20"/>
        </w:rPr>
        <w:t xml:space="preserve">The three scenarios map directly to the implementation plan's scenario definitions:</w:t>
      </w:r>
    </w:p>
    <w:p>
      <w:pPr>
        <w:pStyle w:val="ListParagraph"/>
        <w:numPr>
          <w:ilvl w:val="0"/>
          <w:numId w:val="2"/>
        </w:numPr>
        <w:spacing w:after="40" w:before="40"/>
      </w:pPr>
      <w:r>
        <w:rPr>
          <w:rFonts w:ascii="Calibri" w:cs="Calibri" w:eastAsia="Calibri" w:hAnsi="Calibri"/>
          <w:b w:val="false"/>
          <w:bCs w:val="false"/>
          <w:color w:val="8B0000"/>
          <w:sz w:val="20"/>
          <w:szCs w:val="20"/>
        </w:rPr>
        <w:t xml:space="preserve">Bear: 20% AUM-linked fee revenue compression from equity market correction, HPS/GIP integration 6-month delay, multiple contraction toward traditional asset manager peers.</w:t>
      </w:r>
    </w:p>
    <w:p>
      <w:pPr>
        <w:pStyle w:val="ListParagraph"/>
        <w:numPr>
          <w:ilvl w:val="0"/>
          <w:numId w:val="2"/>
        </w:numPr>
        <w:spacing w:after="40" w:before="40"/>
      </w:pPr>
      <w:r>
        <w:rPr>
          <w:rFonts w:ascii="Calibri" w:cs="Calibri" w:eastAsia="Calibri" w:hAnsi="Calibri"/>
          <w:b w:val="false"/>
          <w:bCs w:val="false"/>
          <w:color w:val="0D1B3E"/>
          <w:sz w:val="20"/>
          <w:szCs w:val="20"/>
        </w:rPr>
        <w:t xml:space="preserve">Base: Management guidance execution — 5–7%+ organic base fee growth, 44–45% adj. operating margins, 16% Aladdin ACV growth, $400B gross PM fundraising by 2030.</w:t>
      </w:r>
    </w:p>
    <w:p>
      <w:pPr>
        <w:pStyle w:val="ListParagraph"/>
        <w:numPr>
          <w:ilvl w:val="0"/>
          <w:numId w:val="2"/>
        </w:numPr>
        <w:spacing w:after="40" w:before="40"/>
      </w:pPr>
      <w:r>
        <w:rPr>
          <w:rFonts w:ascii="Calibri" w:cs="Calibri" w:eastAsia="Calibri" w:hAnsi="Calibri"/>
          <w:b w:val="false"/>
          <w:bCs w:val="false"/>
          <w:color w:val="1B5E20"/>
          <w:sz w:val="20"/>
          <w:szCs w:val="20"/>
        </w:rPr>
        <w:t xml:space="preserve">Bull: Aladdin ACV growth sustains 20%+ as Preqin integration monetizes private-market data; alternatives AUM approaches $850B; insurance/wealth channels open; multiple re-rates toward Blackstone/KKR comps.</w:t>
      </w:r>
    </w:p>
    <w:p>
      <w:pPr>
        <w:spacing w:after="60" w:before="120"/>
      </w:pPr>
      <w:r>
        <w:rPr>
          <w:rFonts w:ascii="Calibri" w:cs="Calibri" w:eastAsia="Calibri" w:hAnsi="Calibri"/>
          <w:b w:val="false"/>
          <w:bCs w:val="false"/>
          <w:color w:val="000000"/>
          <w:sz w:val="20"/>
          <w:szCs w:val="20"/>
        </w:rPr>
        <w:t xml:space="preserve">Base year: FY2025 (ended Dec 31, 2025). Explicit forecast period: FY2026E–FY2029E. Terminal value uses the perpetuity growth method anchored to FY2029E FCFF.</w:t>
      </w:r>
    </w:p>
    <w:p>
      <w:r>
        <w:br w:type="page"/>
      </w:r>
    </w:p>
    <w:p>
      <w:pPr>
        <w:pStyle w:val="Heading1"/>
        <w:spacing w:after="160" w:before="360"/>
      </w:pPr>
      <w:r>
        <w:rPr>
          <w:rFonts w:ascii="Calibri" w:cs="Calibri" w:eastAsia="Calibri" w:hAnsi="Calibri"/>
          <w:b/>
          <w:bCs/>
          <w:color w:val="0D1B3E"/>
        </w:rPr>
        <w:t xml:space="preserve">2. Master Assumptions Table</w:t>
      </w:r>
    </w:p>
    <w:p>
      <w:pPr>
        <w:pBdr>
          <w:bottom w:val="single" w:color="C8A84B" w:sz="6"/>
        </w:pBdr>
        <w:spacing w:after="120" w:before="120"/>
      </w:pPr>
    </w:p>
    <w:p>
      <w:pPr>
        <w:spacing w:after="160" w:before="0"/>
      </w:pPr>
      <w:r>
        <w:rPr>
          <w:rFonts w:ascii="Calibri" w:cs="Calibri" w:eastAsia="Calibri" w:hAnsi="Calibri"/>
          <w:b w:val="false"/>
          <w:bCs w:val="false"/>
          <w:color w:val="000000"/>
          <w:sz w:val="20"/>
          <w:szCs w:val="20"/>
        </w:rPr>
        <w:t xml:space="preserve">All figures are forward-looking from the FY2025 base ($24.22B revenue, $48.09 adj. EPS, $14.04T AUM). Blue input cells refer to the color-coded convention in the DCF Excel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650"/>
        <w:gridCol w:w="1650"/>
        <w:gridCol w:w="2210"/>
      </w:tblGrid>
      <w:tr>
        <w:trPr>
          <w:tblHeader/>
        </w:trPr>
        <w:tc>
          <w:tcPr>
            <w:tcW w:type="dxa" w:w="22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Assumption</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BEAR</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BASE</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BULL</w:t>
            </w:r>
          </w:p>
        </w:tc>
        <w:tc>
          <w:tcPr>
            <w:tcW w:type="dxa" w:w="221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Source / Rationale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Revenue CAGR
(FY25–FY29E)</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6.5%</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11.5%</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16.0%</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20% AUM correction compresses base fees ~15%. Base: consensus 10.2% avg (Finbox) + mgmt 5–7% organic. Bull: Fink 2030 &gt;$35B implies ~15.7% CAGR.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FY26E Revenue
($B)</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$23.7B</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$28.5B</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$31.1B</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Base: StockAnalysis consensus $28.48B. Bull: high-end consensus $31.1B. Bear: tariff/market shock compresses fee revenue.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FY27E Revenue
($B)</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$25.2B</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$31.5B</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$36.1B</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Base: consensus $31.49B (StockAnalysis). Bull: full HPS/GIP/Preqin synergy ramp. Bear: flat AUM recovery.</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Adj. Op. Margin
FY26E</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41.0%</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44.1%</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45.5%</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cost deleveraging + 6-month integration delay. Base: mgmt guidance '45%+ through cycle'. Bull: alts/tech mix accretive.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Adj. Op. Margin
Terminal (FY29E)</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42.0%</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45.5%</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49.0%</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structural floor from Aladdin fixed costs. Base: mgmt 45%+ target. Bull: Q4 2025 call 'north of 50% on fee-recurring earnings' — conservative blend.</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Aladdin ACV Growth
(Annual)</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8%</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16%</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22%+</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Bloomberg/MSCI competitive response. Base: FY2025 organic ACV +16% (Q4 earnings call). Bull: Preqin data + private-market analytics expansion; mgmt 'low-to-mid-teens' is floor.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Private Markets AUM
(FY29E, $B)</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$450B</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$650B</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$850B+</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Base: FY2025 base $423.6B + mgmt '$400B gross PM fundraising 2025–2030'. Bull: $91B unfunded commitments + insurance/wealth channels.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Capex as %
of Revenue</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1.8%</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1.6%</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1.4%</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higher integration capex (tech, HPS build-out). Base: FY2024–25 trend ($255–375M / $20–24B). Bull: capital-light Aladdin/data at scale.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Reinvestment Rate
(ΔWC+Capex–D&amp;A) / NOPAT</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28%</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22%</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16%</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integration absorbs cash + WC drag. Base: FY2022–24 avg ~20–24%. Bull: low reinvestment per incremental ACV dollar.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Effective Tax Rate</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25.0%</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21.5%</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21.0%</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mgmt guided ~25% adj. tax rate for 2026 (Q4 earnings call). Base/Bull: historical 21.4–21.5% (10-K); bull via jurisdictional mix optimization.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WACC</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11.0%</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9.5%</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8.0%</w:t>
            </w:r>
          </w:p>
        </w:tc>
        <w:tc>
          <w:tcPr>
            <w:tcW w:type="dxa" w:w="22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β 1.36 (GuruFocus), Rf 4.3%, ERP 6.0%. Base: β 1.20 (BLK plan), Rf 4.3%, ERP 5.5%. Bull: β 1.00, Rf 4.3%, ERP 5.0% + alt-manager re-rate.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7"/>
                <w:szCs w:val="17"/>
              </w:rPr>
              <w:t xml:space="preserve">Terminal Growth Rate (g)</w:t>
            </w:r>
          </w:p>
        </w:tc>
        <w:tc>
          <w:tcPr>
            <w:tcW w:type="dxa" w:w="165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2.0%</w:t>
            </w:r>
          </w:p>
        </w:tc>
        <w:tc>
          <w:tcPr>
            <w:tcW w:type="dxa" w:w="165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2.5%</w:t>
            </w:r>
          </w:p>
        </w:tc>
        <w:tc>
          <w:tcPr>
            <w:tcW w:type="dxa" w:w="165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3.25%</w:t>
            </w:r>
          </w:p>
        </w:tc>
        <w:tc>
          <w:tcPr>
            <w:tcW w:type="dxa" w:w="22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nominal GDP floor + fee compression. Base: BLK organic fee target anchors 2.5% normalized. Bull: AUM compounding + ACV sustains higher rate; spread WACC–g = 4.75% (within Damodaran bounds).</w:t>
            </w:r>
          </w:p>
        </w:tc>
      </w:tr>
    </w:tbl>
    <w:p>
      <w:pPr>
        <w:spacing w:after="200" w:before="100"/>
      </w:pPr>
      <w:r>
        <w:rPr>
          <w:rFonts w:ascii="Calibri" w:cs="Calibri" w:eastAsia="Calibri" w:hAnsi="Calibri"/>
          <w:b w:val="false"/>
          <w:bCs w:val="false"/>
          <w:color w:val="000000"/>
          <w:sz w:val="20"/>
          <w:szCs w:val="20"/>
        </w:rPr>
        <w:t xml:space="preserve">Blue = hardcoded input  |  Black = formula-derived  |  Italic = source note</w:t>
      </w:r>
    </w:p>
    <w:p>
      <w:r>
        <w:br w:type="page"/>
      </w:r>
    </w:p>
    <w:p>
      <w:pPr>
        <w:pStyle w:val="Heading1"/>
        <w:spacing w:after="160" w:before="360"/>
      </w:pPr>
      <w:r>
        <w:rPr>
          <w:rFonts w:ascii="Calibri" w:cs="Calibri" w:eastAsia="Calibri" w:hAnsi="Calibri"/>
          <w:b/>
          <w:bCs/>
          <w:color w:val="0D1B3E"/>
        </w:rPr>
        <w:t xml:space="preserve">3. Derived FCF &amp; Exit Valuation Outputs</w:t>
      </w:r>
    </w:p>
    <w:p>
      <w:pPr>
        <w:pBdr>
          <w:bottom w:val="single" w:color="C8A84B" w:sz="6"/>
        </w:pBdr>
        <w:spacing w:after="120" w:before="120"/>
      </w:pPr>
    </w:p>
    <w:p>
      <w:pPr>
        <w:spacing w:after="160" w:before="0"/>
      </w:pPr>
      <w:r>
        <w:rPr>
          <w:rFonts w:ascii="Calibri" w:cs="Calibri" w:eastAsia="Calibri" w:hAnsi="Calibri"/>
          <w:b w:val="false"/>
          <w:bCs w:val="false"/>
          <w:color w:val="000000"/>
          <w:sz w:val="20"/>
          <w:szCs w:val="20"/>
        </w:rPr>
        <w:t xml:space="preserve">The following outputs flow directly from the assumptions above, applied in the DCF model. FY2029E is used as the terminal anchor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260"/>
      </w:tblGrid>
      <w:tr>
        <w:trPr>
          <w:tblHeader/>
        </w:trPr>
        <w:tc>
          <w:tcPr>
            <w:tcW w:type="dxa" w:w="30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Output (FY29E)</w:t>
            </w:r>
          </w:p>
        </w:tc>
        <w:tc>
          <w:tcPr>
            <w:tcW w:type="dxa" w:w="17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BEAR</w:t>
            </w:r>
          </w:p>
        </w:tc>
        <w:tc>
          <w:tcPr>
            <w:tcW w:type="dxa" w:w="17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BASE</w:t>
            </w:r>
          </w:p>
        </w:tc>
        <w:tc>
          <w:tcPr>
            <w:tcW w:type="dxa" w:w="17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BULL</w:t>
            </w:r>
          </w:p>
        </w:tc>
        <w:tc>
          <w:tcPr>
            <w:tcW w:type="dxa" w:w="126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Revenue ($B)</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$28.5B</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$38.5B</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$53.0B</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Explicit forecast</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Adj. Op. Income ($B)</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$12.0B</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$17.5B</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$26.0B</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At terminal margin</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NOPAT ($B)</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$9.0B</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$13.7B</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$20.5B</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Post-tax EBIT</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FCFF ($B)</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$4.5B</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$6.6B</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$9.2B</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After reinvestment</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Terminal Value — Perpetuity ($B)</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$50B</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$97B</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$183B</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TV = FCFF×(1+g)/(WACC–g)</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Exit P/E Multiple</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17x</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21x</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27x</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FY29E adj. EPS</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Exit EV/EBITDA Multiple</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14x</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18x</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23x</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TTM-based</w:t>
            </w:r>
          </w:p>
        </w:tc>
      </w:tr>
      <w:tr>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Implied Intrinsic Value/Share</w:t>
            </w:r>
          </w:p>
        </w:tc>
        <w:tc>
          <w:tcPr>
            <w:tcW w:type="dxa" w:w="1700"/>
            <w:tcBorders>
              <w:top w:val="single" w:color="D9D9D9" w:sz="4"/>
              <w:left w:val="single" w:color="D9D9D9" w:sz="4"/>
              <w:bottom w:val="single" w:color="D9D9D9" w:sz="4"/>
              <w:right w:val="single" w:color="D9D9D9" w:sz="4"/>
            </w:tcBorders>
            <w:shd w:fill="FFEDED" w:val="clear"/>
            <w:tcMar>
              <w:top w:type="dxa" w:w="80"/>
              <w:left w:type="dxa" w:w="120"/>
              <w:bottom w:type="dxa" w:w="80"/>
              <w:right w:type="dxa" w:w="120"/>
            </w:tcMar>
            <w:vAlign w:val="center"/>
          </w:tcPr>
          <w:p>
            <w:pPr>
              <w:jc w:val="left"/>
            </w:pPr>
            <w:r>
              <w:rPr>
                <w:rFonts w:ascii="Calibri" w:cs="Calibri" w:eastAsia="Calibri" w:hAnsi="Calibri"/>
                <w:b/>
                <w:bCs/>
                <w:color w:val="8B0000"/>
                <w:sz w:val="18"/>
                <w:szCs w:val="18"/>
              </w:rPr>
              <w:t xml:space="preserve">~$750–850</w:t>
            </w:r>
          </w:p>
        </w:tc>
        <w:tc>
          <w:tcPr>
            <w:tcW w:type="dxa" w:w="1700"/>
            <w:tcBorders>
              <w:top w:val="single" w:color="D9D9D9" w:sz="4"/>
              <w:left w:val="single" w:color="D9D9D9" w:sz="4"/>
              <w:bottom w:val="single" w:color="D9D9D9" w:sz="4"/>
              <w:right w:val="single" w:color="D9D9D9" w:sz="4"/>
            </w:tcBorders>
            <w:shd w:fill="EDF4FF" w:val="clear"/>
            <w:tcMar>
              <w:top w:type="dxa" w:w="80"/>
              <w:left w:type="dxa" w:w="120"/>
              <w:bottom w:type="dxa" w:w="80"/>
              <w:right w:type="dxa" w:w="120"/>
            </w:tcMar>
            <w:vAlign w:val="center"/>
          </w:tcPr>
          <w:p>
            <w:pPr>
              <w:jc w:val="left"/>
            </w:pPr>
            <w:r>
              <w:rPr>
                <w:rFonts w:ascii="Calibri" w:cs="Calibri" w:eastAsia="Calibri" w:hAnsi="Calibri"/>
                <w:b/>
                <w:bCs/>
                <w:color w:val="0D1B3E"/>
                <w:sz w:val="18"/>
                <w:szCs w:val="18"/>
              </w:rPr>
              <w:t xml:space="preserve">~$1,150–1,350</w:t>
            </w:r>
          </w:p>
        </w:tc>
        <w:tc>
          <w:tcPr>
            <w:tcW w:type="dxa" w:w="1700"/>
            <w:tcBorders>
              <w:top w:val="single" w:color="D9D9D9" w:sz="4"/>
              <w:left w:val="single" w:color="D9D9D9" w:sz="4"/>
              <w:bottom w:val="single" w:color="D9D9D9" w:sz="4"/>
              <w:right w:val="single" w:color="D9D9D9" w:sz="4"/>
            </w:tcBorders>
            <w:shd w:fill="EDFAED" w:val="clear"/>
            <w:tcMar>
              <w:top w:type="dxa" w:w="80"/>
              <w:left w:type="dxa" w:w="120"/>
              <w:bottom w:type="dxa" w:w="80"/>
              <w:right w:type="dxa" w:w="120"/>
            </w:tcMar>
            <w:vAlign w:val="center"/>
          </w:tcPr>
          <w:p>
            <w:pPr>
              <w:jc w:val="left"/>
            </w:pPr>
            <w:r>
              <w:rPr>
                <w:rFonts w:ascii="Calibri" w:cs="Calibri" w:eastAsia="Calibri" w:hAnsi="Calibri"/>
                <w:b/>
                <w:bCs/>
                <w:color w:val="1B5E20"/>
                <w:sz w:val="18"/>
                <w:szCs w:val="18"/>
              </w:rPr>
              <w:t xml:space="preserve">~$1,550–1,900</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vs. ~$958 current</w:t>
            </w:r>
          </w:p>
        </w:tc>
      </w:tr>
    </w:tbl>
    <w:p>
      <w:pPr>
        <w:spacing w:after="200" w:before="100"/>
      </w:pPr>
      <w:r>
        <w:rPr>
          <w:rFonts w:ascii="Calibri" w:cs="Calibri" w:eastAsia="Calibri" w:hAnsi="Calibri"/>
          <w:b w:val="false"/>
          <w:bCs w:val="false"/>
          <w:color w:val="000000"/>
          <w:sz w:val="20"/>
          <w:szCs w:val="20"/>
        </w:rPr>
        <w:t xml:space="preserve">Terminal Value formula: TV = FCFF_terminal × (1 + g) / (WACC − g). PV of TV discounted 4 periods.</w:t>
      </w:r>
    </w:p>
    <w:p>
      <w:r>
        <w:br w:type="page"/>
      </w:r>
    </w:p>
    <w:p>
      <w:pPr>
        <w:pStyle w:val="Heading1"/>
        <w:spacing w:after="160" w:before="360"/>
      </w:pPr>
      <w:r>
        <w:rPr>
          <w:rFonts w:ascii="Calibri" w:cs="Calibri" w:eastAsia="Calibri" w:hAnsi="Calibri"/>
          <w:b/>
          <w:bCs/>
          <w:color w:val="0D1B3E"/>
        </w:rPr>
        <w:t xml:space="preserve">4. Exit Multiple Calibration</w:t>
      </w:r>
    </w:p>
    <w:p>
      <w:pPr>
        <w:pBdr>
          <w:bottom w:val="single" w:color="C8A84B" w:sz="6"/>
        </w:pBdr>
        <w:spacing w:after="120" w:before="120"/>
      </w:pPr>
    </w:p>
    <w:p>
      <w:pPr>
        <w:spacing w:after="160" w:before="0"/>
      </w:pPr>
      <w:r>
        <w:rPr>
          <w:rFonts w:ascii="Calibri" w:cs="Calibri" w:eastAsia="Calibri" w:hAnsi="Calibri"/>
          <w:b w:val="false"/>
          <w:bCs w:val="false"/>
          <w:color w:val="000000"/>
          <w:sz w:val="20"/>
          <w:szCs w:val="20"/>
        </w:rPr>
        <w:t xml:space="preserve">Exit multiples are validated against current market trading levels and peer comparables. The re-rating thesis tracks the shift in BLK's revenue mix from traditional asset management toward alternatives and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50"/>
        <w:gridCol w:w="1650"/>
        <w:gridCol w:w="1650"/>
        <w:gridCol w:w="2810"/>
      </w:tblGrid>
      <w:tr>
        <w:trPr>
          <w:tblHeader/>
        </w:trPr>
        <w:tc>
          <w:tcPr>
            <w:tcW w:type="dxa" w:w="16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Multiple</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BEAR</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BASE</w:t>
            </w:r>
          </w:p>
        </w:tc>
        <w:tc>
          <w:tcPr>
            <w:tcW w:type="dxa" w:w="165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BULL</w:t>
            </w:r>
          </w:p>
        </w:tc>
        <w:tc>
          <w:tcPr>
            <w:tcW w:type="dxa" w:w="281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Peer Anchors &amp; Rationale</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Forward P/E</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8B0000"/>
                <w:sz w:val="17"/>
                <w:szCs w:val="17"/>
              </w:rPr>
              <w:t xml:space="preserve">17x</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D1B3E"/>
                <w:sz w:val="17"/>
                <w:szCs w:val="17"/>
              </w:rPr>
              <w:t xml:space="preserve">21x</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5E20"/>
                <w:sz w:val="17"/>
                <w:szCs w:val="17"/>
              </w:rPr>
              <w:t xml:space="preserve">27x</w:t>
            </w:r>
          </w:p>
        </w:tc>
        <w:tc>
          <w:tcPr>
            <w:tcW w:type="dxa" w:w="28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BLK current fwd P/E ~22x (GuruFocus Apr 2026). TIKR base-case exit 20.3x. KKR 35x, BX 29.5x (AlphaSpread comps). UBS 'low-20x range' base.</w:t>
            </w:r>
          </w:p>
        </w:tc>
      </w:tr>
      <w:tr>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EV/EBITDA</w:t>
            </w:r>
          </w:p>
        </w:tc>
        <w:tc>
          <w:tcPr>
            <w:tcW w:type="dxa" w:w="165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8B0000"/>
                <w:sz w:val="17"/>
                <w:szCs w:val="17"/>
              </w:rPr>
              <w:t xml:space="preserve">14x</w:t>
            </w:r>
          </w:p>
        </w:tc>
        <w:tc>
          <w:tcPr>
            <w:tcW w:type="dxa" w:w="165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D1B3E"/>
                <w:sz w:val="17"/>
                <w:szCs w:val="17"/>
              </w:rPr>
              <w:t xml:space="preserve">18x</w:t>
            </w:r>
          </w:p>
        </w:tc>
        <w:tc>
          <w:tcPr>
            <w:tcW w:type="dxa" w:w="165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B5E20"/>
                <w:sz w:val="17"/>
                <w:szCs w:val="17"/>
              </w:rPr>
              <w:t xml:space="preserve">23x</w:t>
            </w:r>
          </w:p>
        </w:tc>
        <w:tc>
          <w:tcPr>
            <w:tcW w:type="dxa" w:w="281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BLK TTM EV/EBITDA 17.6x (ValueInvesting.io Apr 2026). BX 19.4x; BAM/Brookfield 26x. Bear discount for integration overhang.</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Re-rating Thesis</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8B0000"/>
                <w:sz w:val="17"/>
                <w:szCs w:val="17"/>
              </w:rPr>
              <w:t xml:space="preserve">No re-rate. Multiple contracts to trough (tariff risk, beta expansion).</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D1B3E"/>
                <w:sz w:val="17"/>
                <w:szCs w:val="17"/>
              </w:rPr>
              <w:t xml:space="preserve">Modest re-rate as alts mix grows from ~10% to ~18% of revenue; consistent with UBS 'low-to-mid-teens earnings growth.'</w:t>
            </w:r>
          </w:p>
        </w:tc>
        <w:tc>
          <w:tcPr>
            <w:tcW w:type="dxa" w:w="165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5E20"/>
                <w:sz w:val="17"/>
                <w:szCs w:val="17"/>
              </w:rPr>
              <w:t xml:space="preserve">Full alt-manager re-rate. Preqin + insurance/wealth = BX/BAM-style platform premium. Fink 2030 target implies ~$2,100/share at 14.4% IRR.</w:t>
            </w:r>
          </w:p>
        </w:tc>
        <w:tc>
          <w:tcPr>
            <w:tcW w:type="dxa" w:w="281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Multiple expansion path directly tied to alternatives revenue as % of total.</w:t>
            </w:r>
          </w:p>
        </w:tc>
      </w:tr>
    </w:tbl>
    <w:p>
      <w:pPr>
        <w:spacing w:after="80" w:before="100"/>
      </w:pPr>
      <w:r>
        <w:rPr>
          <w:rFonts w:ascii="Calibri" w:cs="Calibri" w:eastAsia="Calibri" w:hAnsi="Calibri"/>
          <w:i/>
          <w:iCs/>
          <w:color w:val="5A5A5A"/>
          <w:sz w:val="18"/>
          <w:szCs w:val="18"/>
        </w:rPr>
        <w:t xml:space="preserve">Peer comp source: </w:t>
      </w:r>
      <w:hyperlink w:history="1" r:id="rIdqwrt6eeane_phh0zdy9p6">
        <w:r>
          <w:rPr>
            <w:rStyle w:val="Hyperlink"/>
            <w:rFonts w:ascii="Calibri" w:cs="Calibri" w:eastAsia="Calibri" w:hAnsi="Calibri"/>
            <w:sz w:val="18"/>
            <w:szCs w:val="18"/>
          </w:rPr>
          <w:t xml:space="preserve">AlphaSpread Relative Valuation (Apr 2026)</w:t>
        </w:r>
      </w:hyperlink>
      <w:r>
        <w:rPr>
          <w:rFonts w:ascii="Calibri" w:cs="Calibri" w:eastAsia="Calibri" w:hAnsi="Calibri"/>
          <w:color w:val="5A5A5A"/>
          <w:sz w:val="18"/>
          <w:szCs w:val="18"/>
        </w:rPr>
        <w:t xml:space="preserve">  |  </w:t>
      </w:r>
      <w:hyperlink w:history="1" r:id="rId9evnnea2cwppprlx68sl0">
        <w:r>
          <w:rPr>
            <w:rStyle w:val="Hyperlink"/>
            <w:rFonts w:ascii="Calibri" w:cs="Calibri" w:eastAsia="Calibri" w:hAnsi="Calibri"/>
            <w:sz w:val="18"/>
            <w:szCs w:val="18"/>
          </w:rPr>
          <w:t xml:space="preserve">ValueInvesting.io EV/EBITDA (Apr 2026)</w:t>
        </w:r>
      </w:hyperlink>
    </w:p>
    <w:p>
      <w:r>
        <w:br w:type="page"/>
      </w:r>
    </w:p>
    <w:p>
      <w:pPr>
        <w:pStyle w:val="Heading1"/>
        <w:spacing w:after="160" w:before="360"/>
      </w:pPr>
      <w:r>
        <w:rPr>
          <w:rFonts w:ascii="Calibri" w:cs="Calibri" w:eastAsia="Calibri" w:hAnsi="Calibri"/>
          <w:b/>
          <w:bCs/>
          <w:color w:val="0D1B3E"/>
        </w:rPr>
        <w:t xml:space="preserve">5. Scenario Narratives</w:t>
      </w:r>
    </w:p>
    <w:p>
      <w:pPr>
        <w:pBdr>
          <w:bottom w:val="single" w:color="C8A84B" w:sz="6"/>
        </w:pBdr>
        <w:spacing w:after="120" w:before="120"/>
      </w:pPr>
    </w:p>
    <w:p>
      <w:pPr>
        <w:pStyle w:val="Heading2"/>
        <w:spacing w:after="120" w:before="280"/>
      </w:pPr>
      <w:r>
        <w:rPr>
          <w:rFonts w:ascii="Calibri" w:cs="Calibri" w:eastAsia="Calibri" w:hAnsi="Calibri"/>
          <w:b/>
          <w:bCs/>
          <w:color w:val="0D1B3E"/>
        </w:rPr>
        <w:t xml:space="preserve">5.1  Bear Case</w:t>
      </w:r>
    </w:p>
    <w:p>
      <w:pPr>
        <w:spacing w:after="60" w:before="60"/>
      </w:pPr>
      <w:r>
        <w:rPr>
          <w:rFonts w:ascii="Calibri" w:cs="Calibri" w:eastAsia="Calibri" w:hAnsi="Calibri"/>
          <w:b w:val="false"/>
          <w:bCs w:val="false"/>
          <w:color w:val="000000"/>
          <w:sz w:val="20"/>
          <w:szCs w:val="20"/>
        </w:rPr>
        <w:t xml:space="preserve">A 20% equity market correction compresses average AUM by approximately 12% and base fees proportionally. This is consistent with the bear scenario in the BLK Implementation Plan, and notably with Larry Fink's own April 2025 warning of a potential additional 20% market slide if U.S. recession fears materialized. The 6-month HPS/GIP integration delay assumed in the plan adds roughly $500M in unabsorbed integration costs through FY2027. Revenue CAGR falls to 6.5%, adjusted margins compress to 41–42%, and the exit multiple contracts to 17x forward P/E as the market re-rates BLK toward traditional asset manager peers. The tax rate rises to 25% per management's own 2026 guidance. Downside is cushioned by $11.5B in cash, $12.8B long-term debt (net debt only ~$1.3B), and the non-AUM-linked Aladdin subscription base.</w:t>
      </w:r>
    </w:p>
    <w:p>
      <w:pPr>
        <w:pStyle w:val="Heading2"/>
        <w:spacing w:after="120" w:before="280"/>
      </w:pPr>
      <w:r>
        <w:rPr>
          <w:rFonts w:ascii="Calibri" w:cs="Calibri" w:eastAsia="Calibri" w:hAnsi="Calibri"/>
          <w:b/>
          <w:bCs/>
          <w:color w:val="0D1B3E"/>
        </w:rPr>
        <w:t xml:space="preserve">5.2  Base Case</w:t>
      </w:r>
    </w:p>
    <w:p>
      <w:pPr>
        <w:spacing w:after="60" w:before="60"/>
      </w:pPr>
      <w:r>
        <w:rPr>
          <w:rFonts w:ascii="Calibri" w:cs="Calibri" w:eastAsia="Calibri" w:hAnsi="Calibri"/>
          <w:b w:val="false"/>
          <w:bCs w:val="false"/>
          <w:color w:val="000000"/>
          <w:sz w:val="20"/>
          <w:szCs w:val="20"/>
        </w:rPr>
        <w:t xml:space="preserve">Execution of management's stated guidance: 5–7%+ organic base fee growth, Aladdin ACV growth of 16% organically, and adjusted operating margins at or above 45% through the market cycle. Consensus revenue of $28.5B in FY2026 and $31.5B in FY2027 grounds the near-term, aligned with StockAnalysis (10 analyst estimates) and Finbox (10.2% 5-year CAGR). Exit multiple holds at approximately 21x forward P/E — consistent with BLK's 5-year average during stable market environments and UBS's explicit "low-20x earnings range" call. Terminal growth rate of 2.5% reflects normalized AUM compounding after market-cycle mean-reversion.</w:t>
      </w:r>
    </w:p>
    <w:p>
      <w:pPr>
        <w:pStyle w:val="Heading2"/>
        <w:spacing w:after="120" w:before="280"/>
      </w:pPr>
      <w:r>
        <w:rPr>
          <w:rFonts w:ascii="Calibri" w:cs="Calibri" w:eastAsia="Calibri" w:hAnsi="Calibri"/>
          <w:b/>
          <w:bCs/>
          <w:color w:val="0D1B3E"/>
        </w:rPr>
        <w:t xml:space="preserve">5.3  Bull Case</w:t>
      </w:r>
    </w:p>
    <w:p>
      <w:pPr>
        <w:spacing w:after="60" w:before="60"/>
      </w:pPr>
      <w:r>
        <w:rPr>
          <w:rFonts w:ascii="Calibri" w:cs="Calibri" w:eastAsia="Calibri" w:hAnsi="Calibri"/>
          <w:b w:val="false"/>
          <w:bCs w:val="false"/>
          <w:color w:val="000000"/>
          <w:sz w:val="20"/>
          <w:szCs w:val="20"/>
        </w:rPr>
        <w:t xml:space="preserve">Aladdin ACV sustains 20%+ organic growth as the Preqin integration positions BLK as the dominant private-market data infrastructure layer, generating near-zero marginal cost incremental revenue. Private credit and infrastructure AUM approaches $850B by FY2029 as insurance and wealth management channels fully open — each a potential $500M revenue generator per Fink's 2026 letter. Adjusted operating margins approach 49% as the high-margin alternatives and technology mix exceeds 30% of total revenue, the stated 2030 target. The market re-rates BLK toward alternative asset manager comparables (BX 29.5x, KKR 39x), lifting the exit to 27x as the platform premium becomes institutionally recognized. Fink's 2030 model implies $2,100/share at a 14.4% annualized IRR.</w:t>
      </w:r>
    </w:p>
    <w:p>
      <w:r>
        <w:br w:type="page"/>
      </w:r>
    </w:p>
    <w:p>
      <w:pPr>
        <w:pStyle w:val="Heading1"/>
        <w:spacing w:after="160" w:before="360"/>
      </w:pPr>
      <w:r>
        <w:rPr>
          <w:rFonts w:ascii="Calibri" w:cs="Calibri" w:eastAsia="Calibri" w:hAnsi="Calibri"/>
          <w:b/>
          <w:bCs/>
          <w:color w:val="0D1B3E"/>
        </w:rPr>
        <w:t xml:space="preserve">6. How to Plug into the DCF Model</w:t>
      </w:r>
    </w:p>
    <w:p>
      <w:pPr>
        <w:pBdr>
          <w:bottom w:val="single" w:color="C8A84B" w:sz="6"/>
        </w:pBdr>
        <w:spacing w:after="120" w:before="120"/>
      </w:pPr>
    </w:p>
    <w:p>
      <w:pPr>
        <w:spacing w:after="80" w:before="0"/>
      </w:pPr>
      <w:r>
        <w:rPr>
          <w:rFonts w:ascii="Calibri" w:cs="Calibri" w:eastAsia="Calibri" w:hAnsi="Calibri"/>
          <w:b w:val="false"/>
          <w:bCs w:val="false"/>
          <w:color w:val="000000"/>
          <w:sz w:val="20"/>
          <w:szCs w:val="20"/>
        </w:rPr>
        <w:t xml:space="preserve">The BLK DCF Excel model (BLK_DCF_Model_Hawkins_Holdings_2026.xlsx) uses color-coded input cells following industry convention:</w:t>
      </w:r>
    </w:p>
    <w:p>
      <w:pPr>
        <w:pStyle w:val="ListParagraph"/>
        <w:numPr>
          <w:ilvl w:val="0"/>
          <w:numId w:val="2"/>
        </w:numPr>
        <w:spacing w:after="40" w:before="40"/>
      </w:pPr>
      <w:r>
        <w:rPr>
          <w:rFonts w:ascii="Calibri" w:cs="Calibri" w:eastAsia="Calibri" w:hAnsi="Calibri"/>
          <w:b w:val="false"/>
          <w:bCs w:val="false"/>
          <w:color w:val="000000"/>
          <w:sz w:val="20"/>
          <w:szCs w:val="20"/>
        </w:rPr>
        <w:t xml:space="preserve">Blue cells = hardcoded inputs — update with the scenario values from Table 1 above</w:t>
      </w:r>
    </w:p>
    <w:p>
      <w:pPr>
        <w:pStyle w:val="ListParagraph"/>
        <w:numPr>
          <w:ilvl w:val="0"/>
          <w:numId w:val="2"/>
        </w:numPr>
        <w:spacing w:after="40" w:before="40"/>
      </w:pPr>
      <w:r>
        <w:rPr>
          <w:rFonts w:ascii="Calibri" w:cs="Calibri" w:eastAsia="Calibri" w:hAnsi="Calibri"/>
          <w:b w:val="false"/>
          <w:bCs w:val="false"/>
          <w:color w:val="000000"/>
          <w:sz w:val="20"/>
          <w:szCs w:val="20"/>
        </w:rPr>
        <w:t xml:space="preserve">Black cells = formula-derived — will auto-recalculate</w:t>
      </w:r>
    </w:p>
    <w:p>
      <w:pPr>
        <w:pStyle w:val="ListParagraph"/>
        <w:numPr>
          <w:ilvl w:val="0"/>
          <w:numId w:val="2"/>
        </w:numPr>
        <w:spacing w:after="40" w:before="40"/>
      </w:pPr>
      <w:r>
        <w:rPr>
          <w:rFonts w:ascii="Calibri" w:cs="Calibri" w:eastAsia="Calibri" w:hAnsi="Calibri"/>
          <w:b w:val="false"/>
          <w:bCs w:val="false"/>
          <w:color w:val="000000"/>
          <w:sz w:val="20"/>
          <w:szCs w:val="20"/>
        </w:rPr>
        <w:t xml:space="preserve">WACC Calculator sheet: update Risk-Free Rate, Beta, and ERP columns for each scenario</w:t>
      </w:r>
    </w:p>
    <w:p>
      <w:pPr>
        <w:pStyle w:val="ListParagraph"/>
        <w:numPr>
          <w:ilvl w:val="0"/>
          <w:numId w:val="2"/>
        </w:numPr>
        <w:spacing w:after="40" w:before="40"/>
      </w:pPr>
      <w:r>
        <w:rPr>
          <w:rFonts w:ascii="Calibri" w:cs="Calibri" w:eastAsia="Calibri" w:hAnsi="Calibri"/>
          <w:b w:val="false"/>
          <w:bCs w:val="false"/>
          <w:color w:val="000000"/>
          <w:sz w:val="20"/>
          <w:szCs w:val="20"/>
        </w:rPr>
        <w:t xml:space="preserve">DCF Valuation sheet: update WACC and Terminal Growth Rate input rows (rows 7–8)</w:t>
      </w:r>
    </w:p>
    <w:p>
      <w:pPr>
        <w:pStyle w:val="ListParagraph"/>
        <w:numPr>
          <w:ilvl w:val="0"/>
          <w:numId w:val="2"/>
        </w:numPr>
        <w:spacing w:after="40" w:before="40"/>
      </w:pPr>
      <w:r>
        <w:rPr>
          <w:rFonts w:ascii="Calibri" w:cs="Calibri" w:eastAsia="Calibri" w:hAnsi="Calibri"/>
          <w:b w:val="false"/>
          <w:bCs w:val="false"/>
          <w:color w:val="000000"/>
          <w:sz w:val="20"/>
          <w:szCs w:val="20"/>
        </w:rPr>
        <w:t xml:space="preserve">Sensitivity Tables sheet: the full WACC × terminal growth rate matrix auto-populates</w:t>
      </w:r>
    </w:p>
    <w:p>
      <w:pPr>
        <w:spacing w:after="60" w:before="120"/>
      </w:pPr>
      <w:r>
        <w:rPr>
          <w:rFonts w:ascii="Calibri" w:cs="Calibri" w:eastAsia="Calibri" w:hAnsi="Calibri"/>
          <w:b w:val="false"/>
          <w:bCs w:val="false"/>
          <w:color w:val="000000"/>
          <w:sz w:val="20"/>
          <w:szCs w:val="20"/>
        </w:rPr>
        <w:t xml:space="preserve">Scenario columns in the model correspond directly to the Bear / Base / Bull columns in this document. No manual recalculation is required — all 272 formulas are live.</w:t>
      </w:r>
    </w:p>
    <w:p>
      <w:r>
        <w:br w:type="page"/>
      </w:r>
    </w:p>
    <w:p>
      <w:pPr>
        <w:pStyle w:val="Heading1"/>
        <w:spacing w:after="160" w:before="360"/>
      </w:pPr>
      <w:r>
        <w:rPr>
          <w:rFonts w:ascii="Calibri" w:cs="Calibri" w:eastAsia="Calibri" w:hAnsi="Calibri"/>
          <w:b/>
          <w:bCs/>
          <w:color w:val="0D1B3E"/>
        </w:rPr>
        <w:t xml:space="preserve">7. Source Index</w:t>
      </w:r>
    </w:p>
    <w:p>
      <w:pPr>
        <w:pBdr>
          <w:bottom w:val="single" w:color="C8A84B" w:sz="6"/>
        </w:pBdr>
        <w:spacing w:after="120" w:before="120"/>
      </w:pPr>
    </w:p>
    <w:p>
      <w:pPr>
        <w:spacing w:after="160" w:before="0"/>
      </w:pPr>
      <w:r>
        <w:rPr>
          <w:rFonts w:ascii="Calibri" w:cs="Calibri" w:eastAsia="Calibri" w:hAnsi="Calibri"/>
          <w:b w:val="false"/>
          <w:bCs w:val="false"/>
          <w:color w:val="000000"/>
          <w:sz w:val="20"/>
          <w:szCs w:val="20"/>
        </w:rPr>
        <w:t xml:space="preserve">All numeric claims in this document trace to the following primary sources. Entries 14–16 are peer-reviewed or institutional sources providing methodological support for the scenario-based DCF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60"/>
        <w:gridCol w:w="3100"/>
      </w:tblGrid>
      <w:tr>
        <w:trPr>
          <w:tblHeader/>
        </w:trPr>
        <w:tc>
          <w:tcPr>
            <w:tcW w:type="dxa" w:w="4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t>
            </w:r>
          </w:p>
        </w:tc>
        <w:tc>
          <w:tcPr>
            <w:tcW w:type="dxa" w:w="28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Source</w:t>
            </w:r>
          </w:p>
        </w:tc>
        <w:tc>
          <w:tcPr>
            <w:tcW w:type="dxa" w:w="306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Data Point</w:t>
            </w:r>
          </w:p>
        </w:tc>
        <w:tc>
          <w:tcPr>
            <w:tcW w:type="dxa" w:w="3100"/>
            <w:tcBorders>
              <w:top w:val="single" w:color="D9D9D9" w:sz="4"/>
              <w:left w:val="single" w:color="D9D9D9" w:sz="4"/>
              <w:bottom w:val="single" w:color="D9D9D9" w:sz="4"/>
              <w:right w:val="single" w:color="D9D9D9" w:sz="4"/>
            </w:tcBorders>
            <w:shd w:fill="0D1B3E"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URL</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BlackRock Q4 2025 Earnings Release</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FY2025 revenue $24.22B, Adj. EPS $48.09, ACV +31%, AUM $14.04T</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m5lhr9iq2t-q6rbvwegfj">
              <w:r>
                <w:rPr>
                  <w:rStyle w:val="Hyperlink"/>
                  <w:rFonts w:ascii="Calibri" w:cs="Calibri" w:eastAsia="Calibri" w:hAnsi="Calibri"/>
                  <w:sz w:val="18"/>
                  <w:szCs w:val="18"/>
                </w:rPr>
                <w:t xml:space="preserve">https://www.blackrock.com/corporate/newsroom/press-r...</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2</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Larry Fink 2026 Annual Letter</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2030 target &gt;$35B rev; 5%+ organic base fee; low-mid-teens tech ACV; 45%+ adj. margins</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ekwr1jodw12kfsovvl9kh">
              <w:r>
                <w:rPr>
                  <w:rStyle w:val="Hyperlink"/>
                  <w:rFonts w:ascii="Calibri" w:cs="Calibri" w:eastAsia="Calibri" w:hAnsi="Calibri"/>
                  <w:sz w:val="18"/>
                  <w:szCs w:val="18"/>
                </w:rPr>
                <w:t xml:space="preserve">https://www.blackrock.com/corporate/investor-relatio...</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3</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BLK 10-K FY2025 (SEC EDGAR)</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ACV +31% incl. Preqin; alts AUM $423.6B; tech/sub rev $2.0B +24%</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ucsl1s4pk_t7hk8bpe91n">
              <w:r>
                <w:rPr>
                  <w:rStyle w:val="Hyperlink"/>
                  <w:rFonts w:ascii="Calibri" w:cs="Calibri" w:eastAsia="Calibri" w:hAnsi="Calibri"/>
                  <w:sz w:val="18"/>
                  <w:szCs w:val="18"/>
                </w:rPr>
                <w:t xml:space="preserve">https://www.stocktitan.net/sec-filings/BLK/10-k-blac...</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4</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StockAnalysis — BLK Forecast</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FY26E rev $28.48B; FY27E $31.49B; FY26E EPS $54.95</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y05vw-fz9lzjy_lsozzd4">
              <w:r>
                <w:rPr>
                  <w:rStyle w:val="Hyperlink"/>
                  <w:rFonts w:ascii="Calibri" w:cs="Calibri" w:eastAsia="Calibri" w:hAnsi="Calibri"/>
                  <w:sz w:val="18"/>
                  <w:szCs w:val="18"/>
                </w:rPr>
                <w:t xml:space="preserve">https://stockanalysis.com/stocks/blk/forecast/</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5</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Finbox — BLK Revenue Forecast</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5-yr revenue growth avg 10.2% CAGR</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mdav2k8dm0rxjtakhjjv1">
              <w:r>
                <w:rPr>
                  <w:rStyle w:val="Hyperlink"/>
                  <w:rFonts w:ascii="Calibri" w:cs="Calibri" w:eastAsia="Calibri" w:hAnsi="Calibri"/>
                  <w:sz w:val="18"/>
                  <w:szCs w:val="18"/>
                </w:rPr>
                <w:t xml:space="preserve">https://finbox.com/NYSE:BLK/explorer/revenue_proj_gr...</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6</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GuruFocus — BLK WACC &amp; Forward P/E</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WACC 12.05% (Mar 2026); beta 1.36; fwd P/E ~22x (Apr 2026)</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gsi12yeddzv6mpn0u8wvy">
              <w:r>
                <w:rPr>
                  <w:rStyle w:val="Hyperlink"/>
                  <w:rFonts w:ascii="Calibri" w:cs="Calibri" w:eastAsia="Calibri" w:hAnsi="Calibri"/>
                  <w:sz w:val="18"/>
                  <w:szCs w:val="18"/>
                </w:rPr>
                <w:t xml:space="preserve">https://www.gurufocus.com/term/wacc/BLK</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7</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AlphaSpread — BLK Relative Valuation</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WACC 7.16%; EV/EBITDA 17.6x; BX 19.4x; BAM 26x peer comps</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hr3sm6w5ycmpt49ypzsol">
              <w:r>
                <w:rPr>
                  <w:rStyle w:val="Hyperlink"/>
                  <w:rFonts w:ascii="Calibri" w:cs="Calibri" w:eastAsia="Calibri" w:hAnsi="Calibri"/>
                  <w:sz w:val="18"/>
                  <w:szCs w:val="18"/>
                </w:rPr>
                <w:t xml:space="preserve">https://www.alphaspread.com/security/nyse/blk/relati...</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8</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ValueInvesting.io — BLK EV/EBITDA</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EV/EBITDA 17.59x as of Apr 2, 2026; trailing P/E range 11.5–18x</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fjf-rurawokdlpatovdf3">
              <w:r>
                <w:rPr>
                  <w:rStyle w:val="Hyperlink"/>
                  <w:rFonts w:ascii="Calibri" w:cs="Calibri" w:eastAsia="Calibri" w:hAnsi="Calibri"/>
                  <w:sz w:val="18"/>
                  <w:szCs w:val="18"/>
                </w:rPr>
                <w:t xml:space="preserve">https://valueinvesting.io/BLK/valuation/ev_ebitda-mu...</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9</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TIKR — BLK 2030 Model</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Base 20.3x exit P/E; $1,705 PT from 13.2% rev growth + 40.2% margin</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3gcceqnkbednmksrvayep">
              <w:r>
                <w:rPr>
                  <w:rStyle w:val="Hyperlink"/>
                  <w:rFonts w:ascii="Calibri" w:cs="Calibri" w:eastAsia="Calibri" w:hAnsi="Calibri"/>
                  <w:sz w:val="18"/>
                  <w:szCs w:val="18"/>
                </w:rPr>
                <w:t xml:space="preserve">https://www.tikr.com/blog/blackrock-is-up-8-last-yea...</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10</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TIKR — BLK 2030 Long Case</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$2,100/share by Dec 2030; 14.4% IRR; mid-case $2,100 at 92% total return</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e9sa_d0tixqwxzxkkjrzh">
              <w:r>
                <w:rPr>
                  <w:rStyle w:val="Hyperlink"/>
                  <w:rFonts w:ascii="Calibri" w:cs="Calibri" w:eastAsia="Calibri" w:hAnsi="Calibri"/>
                  <w:sz w:val="18"/>
                  <w:szCs w:val="18"/>
                </w:rPr>
                <w:t xml:space="preserve">https://www.tikr.com/blog/blackrock-hits-14-trillion...</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11</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Fortune / Q4 2025 Earnings Call Transcript</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ACV organic +16%; adj. op. margin 45%; 2026 adj. tax rate guidance ~25%</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mtmov8zsnovhauklsi8ll">
              <w:r>
                <w:rPr>
                  <w:rStyle w:val="Hyperlink"/>
                  <w:rFonts w:ascii="Calibri" w:cs="Calibri" w:eastAsia="Calibri" w:hAnsi="Calibri"/>
                  <w:sz w:val="18"/>
                  <w:szCs w:val="18"/>
                </w:rPr>
                <w:t xml:space="preserve">https://fortune.com/company/blackrock/earnings/q4-2025/</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12</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UBS via Yahoo Finance</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12% annualized organic base fee; supports 'low-20x' multiple range</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s2victak1zxit72z5fjic">
              <w:r>
                <w:rPr>
                  <w:rStyle w:val="Hyperlink"/>
                  <w:rFonts w:ascii="Calibri" w:cs="Calibri" w:eastAsia="Calibri" w:hAnsi="Calibri"/>
                  <w:sz w:val="18"/>
                  <w:szCs w:val="18"/>
                </w:rPr>
                <w:t xml:space="preserve">https://finance.yahoo.com/news/blackrock-blk-deliver...</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13</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Morningstar — BLK Fair Value</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Fair value $1,170–$1,200; Wide moat; 'slightly undervalued'</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va_uhxrw3cye7qjfqh1rl">
              <w:r>
                <w:rPr>
                  <w:rStyle w:val="Hyperlink"/>
                  <w:rFonts w:ascii="Calibri" w:cs="Calibri" w:eastAsia="Calibri" w:hAnsi="Calibri"/>
                  <w:sz w:val="18"/>
                  <w:szCs w:val="18"/>
                </w:rPr>
                <w:t xml:space="preserve">https://global.morningstar.com/en-nd/stocks/blackroc...</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14</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Zanoni &amp; Vernizzi (2023) — Multi-Scenario Valuation</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ESMA endorsement of multi-scenario DCF; theoretical basis for bear/base/bull structure</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sj8kxglak7r4bg-c-elh5">
              <w:r>
                <w:rPr>
                  <w:rStyle w:val="Hyperlink"/>
                  <w:rFonts w:ascii="Calibri" w:cs="Calibri" w:eastAsia="Calibri" w:hAnsi="Calibri"/>
                  <w:sz w:val="18"/>
                  <w:szCs w:val="18"/>
                </w:rPr>
                <w:t xml:space="preserve">https://ccsenet.org/journal/index.php/ibr/article/do...</w:t>
              </w:r>
            </w:hyperlink>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15</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Dorfleitner (2020) — Terminal Value Risk-Value Models</w:t>
            </w:r>
          </w:p>
        </w:tc>
        <w:tc>
          <w:tcPr>
            <w:tcW w:type="dxa" w:w="3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Upper/lower TV bounds under constant growth; supports perpetuity TV methodology</w:t>
            </w:r>
          </w:p>
        </w:tc>
        <w:tc>
          <w:tcPr>
            <w:tcW w:type="dxa" w:w="3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hyperlink w:history="1" r:id="rIdbfyasfneynmfktdukg-vn">
              <w:r>
                <w:rPr>
                  <w:rStyle w:val="Hyperlink"/>
                  <w:rFonts w:ascii="Calibri" w:cs="Calibri" w:eastAsia="Calibri" w:hAnsi="Calibri"/>
                  <w:sz w:val="18"/>
                  <w:szCs w:val="18"/>
                </w:rPr>
                <w:t xml:space="preserve">https://epub.uni-regensburg.de/43131/1/Dorfleitner20...</w:t>
              </w:r>
            </w:hyperlink>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0000"/>
                <w:sz w:val="16"/>
                <w:szCs w:val="16"/>
              </w:rPr>
              <w:t xml:space="preserve">16</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6"/>
                <w:szCs w:val="16"/>
              </w:rPr>
              <w:t xml:space="preserve">Economic Times — Fink 20% Market Warning</w:t>
            </w:r>
          </w:p>
        </w:tc>
        <w:tc>
          <w:tcPr>
            <w:tcW w:type="dxa" w:w="3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A5A5A"/>
                <w:sz w:val="16"/>
                <w:szCs w:val="16"/>
              </w:rPr>
              <w:t xml:space="preserve">Bear case rationale: Fink warned of potential additional 20% market slide (Apr 2025)</w:t>
            </w:r>
          </w:p>
        </w:tc>
        <w:tc>
          <w:tcPr>
            <w:tcW w:type="dxa" w:w="3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hyperlink w:history="1" r:id="rIdbcn6uv12orpyq4v9yetnv">
              <w:r>
                <w:rPr>
                  <w:rStyle w:val="Hyperlink"/>
                  <w:rFonts w:ascii="Calibri" w:cs="Calibri" w:eastAsia="Calibri" w:hAnsi="Calibri"/>
                  <w:sz w:val="18"/>
                  <w:szCs w:val="18"/>
                </w:rPr>
                <w:t xml:space="preserve">https://economictimes.com/markets/stocks/news/dont-b...</w:t>
              </w:r>
            </w:hyperlink>
          </w:p>
        </w:tc>
      </w:tr>
    </w:tbl>
    <w:p>
      <w:pPr>
        <w:spacing w:after="60" w:before="400"/>
      </w:pPr>
      <w:r>
        <w:rPr>
          <w:rFonts w:ascii="Calibri" w:cs="Calibri" w:eastAsia="Calibri" w:hAnsi="Calibri"/>
          <w:b/>
          <w:bCs/>
          <w:color w:val="5A5A5A"/>
          <w:sz w:val="20"/>
          <w:szCs w:val="20"/>
        </w:rPr>
        <w:t xml:space="preserve">Disclaimer</w:t>
      </w:r>
    </w:p>
    <w:p>
      <w:pPr>
        <w:spacing w:after="60" w:before="0"/>
      </w:pPr>
      <w:r>
        <w:rPr>
          <w:rFonts w:ascii="Calibri" w:cs="Calibri" w:eastAsia="Calibri" w:hAnsi="Calibri"/>
          <w:i/>
          <w:iCs/>
          <w:color w:val="5A5A5A"/>
          <w:sz w:val="17"/>
          <w:szCs w:val="17"/>
        </w:rPr>
        <w:t xml:space="preserve">This document is prepared solely for the Perplexity Pitch Contest (April 2026) and does not constitute investment advice or a solicitation to buy or sell securities. All projections are estimates based on publicly available data and analyst consensus and are subject to material uncertainty. Past performance is not indicative of future results.</w:t>
      </w:r>
    </w:p>
    <w:p>
      <w:pPr>
        <w:spacing w:after="0" w:before="40"/>
      </w:pPr>
      <w:r>
        <w:rPr>
          <w:rFonts w:ascii="Calibri" w:cs="Calibri" w:eastAsia="Calibri" w:hAnsi="Calibri"/>
          <w:color w:val="5A5A5A"/>
          <w:sz w:val="16"/>
          <w:szCs w:val="16"/>
        </w:rPr>
        <w:t xml:space="preserve">Generated: April 3, 2026  |  </w:t>
      </w:r>
      <w:hyperlink w:history="1" r:id="rIdxboh4l3cbatk86fral931">
        <w:r>
          <w:rPr>
            <w:rStyle w:val="Hyperlink"/>
            <w:rFonts w:ascii="Calibri" w:cs="Calibri" w:eastAsia="Calibri" w:hAnsi="Calibri"/>
            <w:sz w:val="18"/>
            <w:szCs w:val="18"/>
          </w:rPr>
          <w:t xml:space="preserve">github.com/ndhthecatalyst/Perplexity-Pitch-Contest-Blackrock-Long-Position</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pBdr>
      <w:spacing w:before="80"/>
      <w:jc w:val="center"/>
    </w:pPr>
    <w:r>
      <w:rPr>
        <w:rFonts w:ascii="Calibri" w:cs="Calibri" w:eastAsia="Calibri" w:hAnsi="Calibri"/>
        <w:color w:val="5A5A5A"/>
        <w:sz w:val="16"/>
        <w:szCs w:val="16"/>
      </w:rPr>
      <w:t xml:space="preserve">BlackRock (BLK) DCF Assumptions  |  April 3, 2026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pBdr>
      <w:spacing w:after="80"/>
      <w:jc w:val="right"/>
    </w:pPr>
    <w:r>
      <w:rPr>
        <w:rFonts w:ascii="Calibri" w:cs="Calibri" w:eastAsia="Calibri" w:hAnsi="Calibri"/>
        <w:i/>
        <w:iCs/>
        <w:color w:val="5A5A5A"/>
        <w:sz w:val="16"/>
        <w:szCs w:val="16"/>
      </w:rPr>
      <w:t xml:space="preserve">CONFIDENTIAL — FOR COMPETITION USE ONLY</w:t>
    </w:r>
    <w:r>
      <w:rPr>
        <w:rFonts w:ascii="Calibri" w:cs="Calibri" w:eastAsia="Calibri" w:hAnsi="Calibri"/>
        <w:color w:val="5A5A5A"/>
        <w:sz w:val="16"/>
        <w:szCs w:val="16"/>
      </w:rPr>
      <w:t xml:space="preserve">   |   </w:t>
    </w:r>
    <w:r>
      <w:rPr>
        <w:rFonts w:ascii="Calibri" w:cs="Calibri" w:eastAsia="Calibri" w:hAnsi="Calibri"/>
        <w:b/>
        <w:bCs/>
        <w:color w:val="0D1B3E"/>
        <w:sz w:val="16"/>
        <w:szCs w:val="16"/>
      </w:rPr>
      <w:t xml:space="preserve">Hawkins Holdings  /  Perplexity Pitch Contest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1B3E"/>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0D1B3E"/>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e8jpmx1xolmh9f3j4zzl" Type="http://schemas.openxmlformats.org/officeDocument/2006/relationships/hyperlink" Target="https://github.com/ndhthecatalyst/Perplexity-Pitch-Contest-Blackrock-Long-Position" TargetMode="External"/><Relationship Id="rIdqwrt6eeane_phh0zdy9p6" Type="http://schemas.openxmlformats.org/officeDocument/2006/relationships/hyperlink" Target="https://www.alphaspread.com/security/nyse/blk/relative-valuation" TargetMode="External"/><Relationship Id="rId9evnnea2cwppprlx68sl0" Type="http://schemas.openxmlformats.org/officeDocument/2006/relationships/hyperlink" Target="https://valueinvesting.io/BLK/valuation/ev_ebitda-multiples" TargetMode="External"/><Relationship Id="rIdm5lhr9iq2t-q6rbvwegfj" Type="http://schemas.openxmlformats.org/officeDocument/2006/relationships/hyperlink" Target="https://www.blackrock.com/corporate/newsroom/press-releases/article/corporate-one/press-releases/blackrock-reports-fourth-quarter-2025" TargetMode="External"/><Relationship Id="rIdekwr1jodw12kfsovvl9kh" Type="http://schemas.openxmlformats.org/officeDocument/2006/relationships/hyperlink" Target="https://www.blackrock.com/corporate/investor-relations/larry-fink-annual-chairmans-letter" TargetMode="External"/><Relationship Id="rIducsl1s4pk_t7hk8bpe91n" Type="http://schemas.openxmlformats.org/officeDocument/2006/relationships/hyperlink" Target="https://www.stocktitan.net/sec-filings/BLK/10-k-black-rock-inc-files-annual-report-d280a370171b.html" TargetMode="External"/><Relationship Id="rIdy05vw-fz9lzjy_lsozzd4" Type="http://schemas.openxmlformats.org/officeDocument/2006/relationships/hyperlink" Target="https://stockanalysis.com/stocks/blk/forecast/" TargetMode="External"/><Relationship Id="rIdmdav2k8dm0rxjtakhjjv1" Type="http://schemas.openxmlformats.org/officeDocument/2006/relationships/hyperlink" Target="https://finbox.com/NYSE:BLK/explorer/revenue_proj_growth/" TargetMode="External"/><Relationship Id="rIdgsi12yeddzv6mpn0u8wvy" Type="http://schemas.openxmlformats.org/officeDocument/2006/relationships/hyperlink" Target="https://www.gurufocus.com/term/wacc/BLK" TargetMode="External"/><Relationship Id="rIdhr3sm6w5ycmpt49ypzsol" Type="http://schemas.openxmlformats.org/officeDocument/2006/relationships/hyperlink" Target="https://www.alphaspread.com/security/nyse/blk/relative-valuation" TargetMode="External"/><Relationship Id="rIdfjf-rurawokdlpatovdf3" Type="http://schemas.openxmlformats.org/officeDocument/2006/relationships/hyperlink" Target="https://valueinvesting.io/BLK/valuation/ev_ebitda-multiples" TargetMode="External"/><Relationship Id="rId3gcceqnkbednmksrvayep" Type="http://schemas.openxmlformats.org/officeDocument/2006/relationships/hyperlink" Target="https://www.tikr.com/blog/blackrock-is-up-8-last-year-can-it-continue-to-climb-in-2026" TargetMode="External"/><Relationship Id="rIde9sa_d0tixqwxzxkkjrzh" Type="http://schemas.openxmlformats.org/officeDocument/2006/relationships/hyperlink" Target="https://www.tikr.com/blog/blackrock-hits-14-trillion-aum-heres-the-analysts-case-for-2100-per-share" TargetMode="External"/><Relationship Id="rIdmtmov8zsnovhauklsi8ll" Type="http://schemas.openxmlformats.org/officeDocument/2006/relationships/hyperlink" Target="https://fortune.com/company/blackrock/earnings/q4-2025/" TargetMode="External"/><Relationship Id="rIds2victak1zxit72z5fjic" Type="http://schemas.openxmlformats.org/officeDocument/2006/relationships/hyperlink" Target="https://finance.yahoo.com/news/blackrock-blk-delivers-strong-organic-104905800.html" TargetMode="External"/><Relationship Id="rIdva_uhxrw3cye7qjfqh1rl" Type="http://schemas.openxmlformats.org/officeDocument/2006/relationships/hyperlink" Target="https://global.morningstar.com/en-nd/stocks/blackrock-earnings-market-gains-record-inflows-drive-aum-revenue-new-highs" TargetMode="External"/><Relationship Id="rIdsj8kxglak7r4bg-c-elh5" Type="http://schemas.openxmlformats.org/officeDocument/2006/relationships/hyperlink" Target="https://ccsenet.org/journal/index.php/ibr/article/download/0/0/49545/53520" TargetMode="External"/><Relationship Id="rIdbfyasfneynmfktdukg-vn" Type="http://schemas.openxmlformats.org/officeDocument/2006/relationships/hyperlink" Target="https://epub.uni-regensburg.de/43131/1/Dorfleitner2020_Article_OnTheUseOfTheTerminal-valueApp.pdf" TargetMode="External"/><Relationship Id="rIdbcn6uv12orpyq4v9yetnv" Type="http://schemas.openxmlformats.org/officeDocument/2006/relationships/hyperlink" Target="https://economictimes.com/markets/stocks/news/dont-be-fooled-by-the-bounce-blackrock-ceo-fink-warns-of-another-20-market-slide-as-recession-fears-mount/articleshow/120085052.cms" TargetMode="External"/><Relationship Id="rIdxboh4l3cbatk86fral931" Type="http://schemas.openxmlformats.org/officeDocument/2006/relationships/hyperlink" Target="https://github.com/ndhthecatalyst/Perplexity-Pitch-Contest-Blackrock-Long-Position"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2026-04-04T01:55:23.952Z</dcterms:created>
  <dcterms:modified xsi:type="dcterms:W3CDTF">2026-04-04T01:55:23.952Z</dcterms:modified>
</cp:coreProperties>
</file>

<file path=docProps/custom.xml><?xml version="1.0" encoding="utf-8"?>
<Properties xmlns="http://schemas.openxmlformats.org/officeDocument/2006/custom-properties" xmlns:vt="http://schemas.openxmlformats.org/officeDocument/2006/docPropsVTypes"/>
</file>