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lackrock_blk_dcf_evidence_ledger_ec9d7d"/>
      <w:r>
        <w:rPr>
          <w:rFonts w:eastAsia="georgia" w:cs="georgia" w:ascii="georgia" w:hAnsi="georgia"/>
          <w:b/>
          <w:color w:val="000000"/>
          <w:sz w:val="39"/>
        </w:rPr>
        <w:t xml:space="preserve">BlackRock (BLK) — DCF Evidence Ledger &amp; Financial Data Package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Purpose:</w:t>
      </w:r>
      <w:r>
        <w:rPr>
          <w:rFonts w:eastAsia="georgia" w:cs="georgia" w:ascii="georgia" w:hAnsi="georgia"/>
          <w:color w:val="000000"/>
        </w:rPr>
        <w:t xml:space="preserve"> All inputs required for a 3-scenario DCF model for BlackRock, Inc. (NYSE: BLK).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Coverage:</w:t>
      </w:r>
      <w:r>
        <w:rPr>
          <w:rFonts w:eastAsia="georgia" w:cs="georgia" w:ascii="georgia" w:hAnsi="georgia"/>
          <w:color w:val="000000"/>
        </w:rPr>
        <w:t xml:space="preserve"> FY2022–FY2025 actuals + FY2026–FY2028 consensus estimates.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Primary Sources:</w:t>
      </w:r>
      <w:r>
        <w:rPr>
          <w:rFonts w:eastAsia="georgia" w:cs="georgia" w:ascii="georgia" w:hAnsi="georgia"/>
          <w:color w:val="000000"/>
        </w:rPr>
        <w:t xml:space="preserve"> BlackRock 10-K filings, SEC earnings supplements, Bloomberg/FactSet consensus aggregations, and M&amp;A press releases from </w:t>
      </w:r>
      <w:hyperlink r:id="rId5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ir.blackrock.com</w:t>
        </w:r>
      </w:hyperlink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executive_summary"/>
      <w:r>
        <w:rPr>
          <w:rFonts w:eastAsia="georgia" w:cs="georgia" w:ascii="georgia" w:hAnsi="georgia"/>
          <w:b/>
          <w:color w:val="000000"/>
          <w:sz w:val="24"/>
        </w:rPr>
        <w:t xml:space="preserve">Executive Summary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BlackRock is the world's largest asset manager with $14.04 trillion in AUM as of December 31, 2025, driven by record [$698 billion in full-year net inflows]. Full-year 2025 GAAP revenue reached </w:t>
      </w:r>
      <w:hyperlink r:id="rId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$24.22 billion</w:t>
        </w:r>
      </w:hyperlink>
      <w:r>
        <w:rPr>
          <w:rFonts w:eastAsia="georgia" w:cs="georgia" w:ascii="georgia" w:hAnsi="georgia"/>
          <w:color w:val="000000"/>
        </w:rPr>
        <w:t xml:space="preserve">, up </w:t>
      </w:r>
      <w:hyperlink r:id="rId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18.7%</w:t>
        </w:r>
      </w:hyperlink>
      <w:r>
        <w:rPr>
          <w:rFonts w:eastAsia="georgia" w:cs="georgia" w:ascii="georgia" w:hAnsi="georgia"/>
          <w:color w:val="000000"/>
        </w:rPr>
        <w:t xml:space="preserve"> year-over-year, though GAAP operating margin compressed to </w:t>
      </w:r>
      <w:hyperlink r:id="rId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29.1%</w:t>
        </w:r>
      </w:hyperlink>
      <w:r>
        <w:rPr>
          <w:rFonts w:eastAsia="georgia" w:cs="georgia" w:ascii="georgia" w:hAnsi="georgia"/>
          <w:color w:val="000000"/>
        </w:rPr>
        <w:t xml:space="preserve"> due to non-cash acquisition charges from three concurrent mega-deals (GIP, HPS, Preqin). On an adjusted basis, operating margin held at </w:t>
      </w: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44.1%</w:t>
        </w:r>
      </w:hyperlink>
      <w:r>
        <w:rPr>
          <w:rFonts w:eastAsia="georgia" w:cs="georgia" w:ascii="georgia" w:hAnsi="georgia"/>
          <w:color w:val="000000"/>
        </w:rPr>
        <w:t xml:space="preserve">, reflecting the firm's durable fee-earning power. Consensus projects FY2026 revenue of </w:t>
      </w:r>
      <w:hyperlink r:id="rId1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$27.77 billion</w:t>
        </w:r>
      </w:hyperlink>
      <w:r>
        <w:rPr>
          <w:rFonts w:eastAsia="georgia" w:cs="georgia" w:ascii="georgia" w:hAnsi="georgia"/>
          <w:color w:val="000000"/>
        </w:rPr>
        <w:t xml:space="preserve"> and FY2027 revenue of </w:t>
      </w:r>
      <w:hyperlink r:id="rId1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$30.72 billion</w:t>
        </w:r>
      </w:hyperlink>
      <w:r>
        <w:rPr>
          <w:rFonts w:eastAsia="georgia" w:cs="georgia" w:ascii="georgia" w:hAnsi="georgia"/>
          <w:color w:val="000000"/>
        </w:rPr>
        <w:t xml:space="preserve">, implying a forward revenue CAGR of ~10.6%.[</w:t>
      </w:r>
      <w:r>
        <w:rPr>
          <w:rFonts w:eastAsia="georgia" w:cs="georgia" w:ascii="georgia" w:hAnsi="georgia"/>
          <w:color w:val="000000"/>
          <w:vertAlign w:val="superscript"/>
        </w:rPr>
        <w:t xml:space="preserve">1][</w:t>
      </w:r>
      <w:r>
        <w:rPr>
          <w:rFonts w:eastAsia="georgia" w:cs="georgia" w:ascii="georgia" w:hAnsi="georgia"/>
          <w:color w:val="000000"/>
        </w:rPr>
        <w:t xml:space="preserve">2][</w:t>
      </w:r>
      <w:r>
        <w:rPr>
          <w:rFonts w:eastAsia="georgia" w:cs="georgia" w:ascii="georgia" w:hAnsi="georgia"/>
          <w:color w:val="000000"/>
          <w:vertAlign w:val="superscript"/>
        </w:rPr>
        <w:t xml:space="preserve">3][</w:t>
      </w:r>
      <w:r>
        <w:rPr>
          <w:rFonts w:eastAsia="georgia" w:cs="georgia" w:ascii="georgia" w:hAnsi="georgia"/>
          <w:color w:val="000000"/>
        </w:rPr>
        <w:t xml:space="preserve">4][</w:t>
      </w:r>
      <w:r>
        <w:rPr>
          <w:rFonts w:eastAsia="georgia" w:cs="georgia" w:ascii="georgia" w:hAnsi="georgia"/>
          <w:color w:val="000000"/>
          <w:vertAlign w:val="superscript"/>
        </w:rPr>
        <w:t xml:space="preserve">5][</w:t>
      </w:r>
      <w:r>
        <w:rPr>
          <w:rFonts w:eastAsia="georgia" w:cs="georgia" w:ascii="georgia" w:hAnsi="georgia"/>
          <w:color w:val="000000"/>
        </w:rPr>
        <w:t xml:space="preserve">6][</w:t>
      </w:r>
      <w:r>
        <w:rPr>
          <w:rFonts w:eastAsia="georgia" w:cs="georgia" w:ascii="georgia" w:hAnsi="georgia"/>
          <w:color w:val="000000"/>
          <w:vertAlign w:val="superscript"/>
        </w:rPr>
        <w:t xml:space="preserve">7][</w:t>
      </w:r>
      <w:r>
        <w:rPr>
          <w:rFonts w:eastAsia="georgia" w:cs="georgia" w:ascii="georgia" w:hAnsi="georgia"/>
          <w:color w:val="000000"/>
        </w:rPr>
        <w:t xml:space="preserve">8][^9]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section_1_historical_revenue_fy20_18f66c"/>
      <w:r>
        <w:rPr>
          <w:rFonts w:eastAsia="georgia" w:cs="georgia" w:ascii="georgia" w:hAnsi="georgia"/>
          <w:b/>
          <w:color w:val="000000"/>
          <w:sz w:val="24"/>
        </w:rPr>
        <w:t xml:space="preserve">Section 1 — Historical Revenue (FY2022–FY2025)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gaap_total_revenue"/>
      <w:r>
        <w:rPr>
          <w:rFonts w:eastAsia="georgia" w:cs="georgia" w:ascii="georgia" w:hAnsi="georgia"/>
          <w:b/>
          <w:color w:val="000000"/>
          <w:sz w:val="24"/>
        </w:rPr>
        <w:t xml:space="preserve">GAAP Total Revenue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Fiscal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YoY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$17.87B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-7.8% vs FY2021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BlackRock 10-K FY2022[^10]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$17.86B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-0.1%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BlackRock 10-K FY2023[^10]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$20.41B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+14.3%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BlackRock 10-K FY2024[^10]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$24.22B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+18.7%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BlackRock 10-K FY2025[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3-Year CAGR (FY2022–FY2025): ~10.7%.</w:t>
      </w:r>
      <w:r>
        <w:rPr>
          <w:rFonts w:eastAsia="georgia" w:cs="georgia" w:ascii="georgia" w:hAnsi="georgia"/>
          <w:color w:val="000000"/>
        </w:rPr>
        <w:t xml:space="preserve"> Revenue in FY2022–FY2023 was flat due to equity market drawdowns suppressing AUM-linked base fees; the recovery in FY2024 and acceleration in FY2025 reflects GIP and HPS contribution plus record ETF inflows.[</w:t>
      </w:r>
      <w:r>
        <w:rPr>
          <w:rFonts w:eastAsia="georgia" w:cs="georgia" w:ascii="georgia" w:hAnsi="georgia"/>
          <w:color w:val="000000"/>
          <w:vertAlign w:val="superscript"/>
        </w:rPr>
        <w:t xml:space="preserve">13][</w:t>
      </w:r>
      <w:r>
        <w:rPr>
          <w:rFonts w:eastAsia="georgia" w:cs="georgia" w:ascii="georgia" w:hAnsi="georgia"/>
          <w:color w:val="000000"/>
        </w:rPr>
        <w:t xml:space="preserve">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Uncertainty band:</w:t>
      </w:r>
      <w:r>
        <w:rPr>
          <w:rFonts w:eastAsia="georgia" w:cs="georgia" w:ascii="georgia" w:hAnsi="georgia"/>
          <w:color w:val="000000"/>
        </w:rPr>
        <w:t xml:space="preserve"> Management provides no explicit revenue guidance. The key driver is beginning-period AUM × effective fee rate; market beta (±5% equity market swing = ~±$0.7B revenue) is the primary source of variance.[</w:t>
      </w:r>
      <w:r>
        <w:rPr>
          <w:rFonts w:eastAsia="georgia" w:cs="georgia" w:ascii="georgia" w:hAnsi="georgia"/>
          <w:color w:val="000000"/>
          <w:vertAlign w:val="superscript"/>
        </w:rPr>
        <w:t xml:space="preserve">2][</w:t>
      </w:r>
      <w:r>
        <w:rPr>
          <w:rFonts w:eastAsia="georgia" w:cs="georgia" w:ascii="georgia" w:hAnsi="georgia"/>
          <w:color w:val="000000"/>
        </w:rPr>
        <w:t xml:space="preserve">3]</w:t>
      </w:r>
    </w:p>
    <w:p>
      <w:pPr>
        <w:spacing w:line="360" w:before="315" w:after="105" w:lineRule="auto"/>
        <w:ind w:left="-30"/>
        <w:jc w:val="left"/>
      </w:pPr>
      <w:bookmarkStart w:id="4" w:name="adjusted_revenue"/>
      <w:r>
        <w:rPr>
          <w:rFonts w:eastAsia="georgia" w:cs="georgia" w:ascii="georgia" w:hAnsi="georgia"/>
          <w:b/>
          <w:color w:val="000000"/>
          <w:sz w:val="24"/>
        </w:rPr>
        <w:t xml:space="preserve">Adjusted Revenue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Fiscal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Adj.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Adj. EBIT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Adj. EBIT Margin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$15.69B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$6.71B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42.8%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Adj. Metrics / 10-K[^10]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$15.81B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$6.59B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41.7%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Adj. Metrics / 10-K[^10]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$18.24B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$8.11B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44.5%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Adj. Metrics / 10-K[^10]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$21.76B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$9.60B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44.1%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10-K FY2025 / Q4 2025 Earnings[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Note on GAAP vs. Adjusted:</w:t>
      </w:r>
      <w:r>
        <w:rPr>
          <w:rFonts w:eastAsia="georgia" w:cs="georgia" w:ascii="georgia" w:hAnsi="georgia"/>
          <w:color w:val="000000"/>
        </w:rPr>
        <w:t xml:space="preserve"> The divergence widened dramatically in FY2025 as BlackRock absorbed three acquisitions simultaneously (GIP, HPS, Preqin). Non-cash amortization of intangibles, acquisition-related compensation, and restructuring charges inflated GAAP expenses. For DCF purposes, </w:t>
      </w:r>
      <w:r>
        <w:rPr>
          <w:rFonts w:eastAsia="georgia" w:cs="georgia" w:ascii="georgia" w:hAnsi="georgia"/>
          <w:b/>
          <w:color w:val="000000"/>
        </w:rPr>
        <w:t xml:space="preserve">adjusted revenue and adjusted EBIT margins are the more appropriate operating baselines</w:t>
      </w:r>
      <w:r>
        <w:rPr>
          <w:rFonts w:eastAsia="georgia" w:cs="georgia" w:ascii="georgia" w:hAnsi="georgia"/>
          <w:color w:val="000000"/>
        </w:rPr>
        <w:t xml:space="preserve"> for projecting normalized earnings power.[</w:t>
      </w:r>
      <w:r>
        <w:rPr>
          <w:rFonts w:eastAsia="georgia" w:cs="georgia" w:ascii="georgia" w:hAnsi="georgia"/>
          <w:color w:val="000000"/>
          <w:vertAlign w:val="superscript"/>
        </w:rPr>
        <w:t xml:space="preserve">3][</w:t>
      </w:r>
      <w:r>
        <w:rPr>
          <w:rFonts w:eastAsia="georgia" w:cs="georgia" w:ascii="georgia" w:hAnsi="georgia"/>
          <w:color w:val="000000"/>
        </w:rPr>
        <w:t xml:space="preserve">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section_2_operating_margin"/>
      <w:r>
        <w:rPr>
          <w:rFonts w:eastAsia="georgia" w:cs="georgia" w:ascii="georgia" w:hAnsi="georgia"/>
          <w:b/>
          <w:color w:val="000000"/>
          <w:sz w:val="24"/>
        </w:rPr>
        <w:t xml:space="preserve">Section 2 — Operating Margin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gaap_operating_margin"/>
      <w:r>
        <w:rPr>
          <w:rFonts w:eastAsia="georgia" w:cs="georgia" w:ascii="georgia" w:hAnsi="georgia"/>
          <w:b/>
          <w:color w:val="000000"/>
          <w:sz w:val="24"/>
        </w:rPr>
        <w:t xml:space="preserve">GAAP Operating Margin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Fiscal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GAAP Op.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GAAP Op. Margin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$6.39B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35.7%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FY2022[^10]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$6.28B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35.1%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FY2023[^10]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$7.57B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37.1%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FY2024[^10]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$7.05B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29.1%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FY2025[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FY2025 GAAP margin compression</w:t>
      </w:r>
      <w:r>
        <w:rPr>
          <w:rFonts w:eastAsia="georgia" w:cs="georgia" w:ascii="georgia" w:hAnsi="georgia"/>
          <w:color w:val="000000"/>
        </w:rPr>
        <w:t xml:space="preserve"> is entirely attributable to acquisition charges: GAAP operating income fell to </w:t>
      </w:r>
      <w:hyperlink r:id="rId3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$7.05B</w:t>
        </w:r>
      </w:hyperlink>
      <w:r>
        <w:rPr>
          <w:rFonts w:eastAsia="georgia" w:cs="georgia" w:ascii="georgia" w:hAnsi="georgia"/>
          <w:color w:val="000000"/>
        </w:rPr>
        <w:t xml:space="preserve"> while adjusted operating income rose to </w:t>
      </w:r>
      <w:hyperlink r:id="rId3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$9.60B</w:t>
        </w:r>
      </w:hyperlink>
      <w:r>
        <w:rPr>
          <w:rFonts w:eastAsia="georgia" w:cs="georgia" w:ascii="georgia" w:hAnsi="georgia"/>
          <w:color w:val="000000"/>
        </w:rPr>
        <w:t xml:space="preserve">, a ~$2.55B gap representing non-cash deal-related costs. This was also the year D&amp;A surged to </w:t>
      </w:r>
      <w:hyperlink r:id="rId3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$1.13B</w:t>
        </w:r>
      </w:hyperlink>
      <w:r>
        <w:rPr>
          <w:rFonts w:eastAsia="georgia" w:cs="georgia" w:ascii="georgia" w:hAnsi="georgia"/>
          <w:color w:val="000000"/>
        </w:rPr>
        <w:t xml:space="preserve"> from </w:t>
      </w:r>
      <w:hyperlink r:id="rId3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$529M</w:t>
        </w:r>
      </w:hyperlink>
      <w:r>
        <w:rPr>
          <w:rFonts w:eastAsia="georgia" w:cs="georgia" w:ascii="georgia" w:hAnsi="georgia"/>
          <w:color w:val="000000"/>
        </w:rPr>
        <w:t xml:space="preserve"> as GIP and HPS intangibles were amortized.[</w:t>
      </w:r>
      <w:r>
        <w:rPr>
          <w:rFonts w:eastAsia="georgia" w:cs="georgia" w:ascii="georgia" w:hAnsi="georgia"/>
          <w:color w:val="000000"/>
          <w:vertAlign w:val="superscript"/>
        </w:rPr>
        <w:t xml:space="preserve">11][</w:t>
      </w:r>
      <w:r>
        <w:rPr>
          <w:rFonts w:eastAsia="georgia" w:cs="georgia" w:ascii="georgia" w:hAnsi="georgia"/>
          <w:color w:val="000000"/>
        </w:rPr>
        <w:t xml:space="preserve">3]</w:t>
      </w:r>
    </w:p>
    <w:p>
      <w:pPr>
        <w:spacing w:line="360" w:before="315" w:after="105" w:lineRule="auto"/>
        <w:ind w:left="-30"/>
        <w:jc w:val="left"/>
      </w:pPr>
      <w:bookmarkStart w:id="7" w:name="adjusted_ebitda"/>
      <w:r>
        <w:rPr>
          <w:rFonts w:eastAsia="georgia" w:cs="georgia" w:ascii="georgia" w:hAnsi="georgia"/>
          <w:b/>
          <w:color w:val="000000"/>
          <w:sz w:val="24"/>
        </w:rPr>
        <w:t xml:space="preserve">Adjusted EBITDA</w:t>
      </w:r>
      <w:bookmarkEnd w:id="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Fiscal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Adj. EBITDA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Adj. EBITDA Margin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Adj. 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$6.80B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38.1%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$35.36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Adj. Metrics[^10]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$6.70B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37.5%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$37.77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Adj. Metrics[^10]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$8.10B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39.7%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$43.61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Adj. Metrics[^10]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$8.17B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33.7%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$48.09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Q4 2025 Earnings[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14]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Uncertainty band:</w:t>
      </w:r>
      <w:r>
        <w:rPr>
          <w:rFonts w:eastAsia="georgia" w:cs="georgia" w:ascii="georgia" w:hAnsi="georgia"/>
          <w:color w:val="000000"/>
        </w:rPr>
        <w:t xml:space="preserve"> Adjusted EBIT margin has ranged 41–45% over FY2021–FY2025. Margin expansion risk hinges on whether private markets fee economics (HPS, GIP) scale faster than their operating costs. Management targets continued operating leverage.[^9]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section_3_free_cash_flow_fcf_capi_1b417d"/>
      <w:r>
        <w:rPr>
          <w:rFonts w:eastAsia="georgia" w:cs="georgia" w:ascii="georgia" w:hAnsi="georgia"/>
          <w:b/>
          <w:color w:val="000000"/>
          <w:sz w:val="24"/>
        </w:rPr>
        <w:t xml:space="preserve">Section 3 — Free Cash Flow (FCF) &amp; Capital Expenditure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gaap_fcf_cfo_minus_capex"/>
      <w:r>
        <w:rPr>
          <w:rFonts w:eastAsia="georgia" w:cs="georgia" w:ascii="georgia" w:hAnsi="georgia"/>
          <w:b/>
          <w:color w:val="000000"/>
          <w:sz w:val="24"/>
        </w:rPr>
        <w:t xml:space="preserve">GAAP FCF (CFO minus Capex)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359"/>
        <w:gridCol w:w="1359"/>
        <w:gridCol w:w="1359"/>
        <w:gridCol w:w="1359"/>
        <w:gridCol w:w="1359"/>
        <w:gridCol w:w="1359"/>
        <w:gridCol w:w="1359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Fiscal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Cash from Ops (CFO)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GAAP FCF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Adj. FCF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Adj. FCF Margin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$4.96B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4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-$533M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$4.42B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$4.42B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24.7%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FY2022[^10]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$4.17B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-$344M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$3.82B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$3.82B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21.4%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FY2023[^10]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$4.96B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5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-$255M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$4.70B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$4.70B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23.0%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FY2024[^10]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$3.93B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-$375M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$3.55B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$3.55B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14.7%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FY2025[^11]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Note on FY2025 FCF compression:</w:t>
      </w:r>
      <w:r>
        <w:rPr>
          <w:rFonts w:eastAsia="georgia" w:cs="georgia" w:ascii="georgia" w:hAnsi="georgia"/>
          <w:color w:val="000000"/>
        </w:rPr>
        <w:t xml:space="preserve"> The GAAP FCF figure of </w:t>
      </w:r>
      <w:hyperlink r:id="rId68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$3.55B</w:t>
        </w:r>
      </w:hyperlink>
      <w:r>
        <w:rPr>
          <w:rFonts w:eastAsia="georgia" w:cs="georgia" w:ascii="georgia" w:hAnsi="georgia"/>
          <w:color w:val="000000"/>
        </w:rPr>
        <w:t xml:space="preserve"> does not reflect normalized earnings power. CFO was depressed by M&amp;A-related working capital movements and </w:t>
      </w:r>
      <w:hyperlink r:id="rId6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$1.31B</w:t>
        </w:r>
      </w:hyperlink>
      <w:r>
        <w:rPr>
          <w:rFonts w:eastAsia="georgia" w:cs="georgia" w:ascii="georgia" w:hAnsi="georgia"/>
          <w:color w:val="000000"/>
        </w:rPr>
        <w:t xml:space="preserve"> in SBC (vs. </w:t>
      </w:r>
      <w:hyperlink r:id="rId7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$753M</w:t>
        </w:r>
      </w:hyperlink>
      <w:r>
        <w:rPr>
          <w:rFonts w:eastAsia="georgia" w:cs="georgia" w:ascii="georgia" w:hAnsi="georgia"/>
          <w:color w:val="000000"/>
        </w:rPr>
        <w:t xml:space="preserve"> in FY2024). The consensus normalized FCF estimate for FY2026 is </w:t>
      </w:r>
      <w:hyperlink r:id="rId71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$8.78B</w:t>
        </w:r>
      </w:hyperlink>
      <w:r>
        <w:rPr>
          <w:rFonts w:eastAsia="georgia" w:cs="georgia" w:ascii="georgia" w:hAnsi="georgia"/>
          <w:color w:val="000000"/>
        </w:rPr>
        <w:t xml:space="preserve"> — a step-up that reflects both HPS contribution and post-integration normalization.[^11]</w:t>
      </w:r>
    </w:p>
    <w:p>
      <w:pPr>
        <w:spacing w:line="360" w:before="315" w:after="105" w:lineRule="auto"/>
        <w:ind w:left="-30"/>
        <w:jc w:val="left"/>
      </w:pPr>
      <w:bookmarkStart w:id="10" w:name="capex_trend_depreciation_amortization"/>
      <w:r>
        <w:rPr>
          <w:rFonts w:eastAsia="georgia" w:cs="georgia" w:ascii="georgia" w:hAnsi="georgia"/>
          <w:b/>
          <w:color w:val="000000"/>
          <w:sz w:val="24"/>
        </w:rPr>
        <w:t xml:space="preserve">Capex Trend &amp; Depreciation/Amortization</w:t>
      </w:r>
      <w:bookmarkEnd w:id="1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Fiscal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D&amp;A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Net Investment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-$533M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$418M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-$115M 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FY2022[^10]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-$344M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$427M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+$83M 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FY2023[^10]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-$255M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$529M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+$274M 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FY2024[^10]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-$375M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7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$1,126M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+$751M net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FY2025[^11]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Key observation:</w:t>
      </w:r>
      <w:r>
        <w:rPr>
          <w:rFonts w:eastAsia="georgia" w:cs="georgia" w:ascii="georgia" w:hAnsi="georgia"/>
          <w:color w:val="000000"/>
        </w:rPr>
        <w:t xml:space="preserve"> D&amp;A roughly doubled in FY2025 to </w:t>
      </w:r>
      <w:hyperlink r:id="rId8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$1.13B</w:t>
        </w:r>
      </w:hyperlink>
      <w:r>
        <w:rPr>
          <w:rFonts w:eastAsia="georgia" w:cs="georgia" w:ascii="georgia" w:hAnsi="georgia"/>
          <w:color w:val="000000"/>
        </w:rPr>
        <w:t xml:space="preserve"> due to intangible amortization from GIP/HPS acquisitions, but physical capex remains modest (~1.6% of revenue). Going forward, capex guidance per management is approximately $400–450M annually for technology and Aladdin infrastructure investment.[</w:t>
      </w:r>
      <w:r>
        <w:rPr>
          <w:rFonts w:eastAsia="georgia" w:cs="georgia" w:ascii="georgia" w:hAnsi="georgia"/>
          <w:color w:val="000000"/>
          <w:vertAlign w:val="superscript"/>
        </w:rPr>
        <w:t xml:space="preserve">15][</w:t>
      </w:r>
      <w:r>
        <w:rPr>
          <w:rFonts w:eastAsia="georgia" w:cs="georgia" w:ascii="georgia" w:hAnsi="georgia"/>
          <w:color w:val="000000"/>
        </w:rPr>
        <w:t xml:space="preserve">11]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Working Capital: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Fiscal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Net Working Capital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YoY 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A/R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-$2.3B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$3.26B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FY2022[^10]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-$1.6B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+$0.7B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$3.92B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FY2023[^10]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-$10.6B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-$9.0B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$4.30B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FY2024[^10]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-$16.5B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-$5.9B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$5.16B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FY2025[^11]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Uncertainty:</w:t>
      </w:r>
      <w:r>
        <w:rPr>
          <w:rFonts w:eastAsia="georgia" w:cs="georgia" w:ascii="georgia" w:hAnsi="georgia"/>
          <w:color w:val="000000"/>
        </w:rPr>
        <w:t xml:space="preserve"> BLK's balance sheet is dominated by brokerage-related payables and consolidated seed capital, which creates unusually large current liability balances. Net working capital as traditionally defined is negative and not a meaningful constraint on operations. For DCF modeling, changes in operating working capital (excl. cash, short-term debt) per the cash flow statement are the better proxy, averaging approximately -$250M annually.[</w:t>
      </w:r>
      <w:r>
        <w:rPr>
          <w:rFonts w:eastAsia="georgia" w:cs="georgia" w:ascii="georgia" w:hAnsi="georgia"/>
          <w:color w:val="000000"/>
          <w:vertAlign w:val="superscript"/>
        </w:rPr>
        <w:t xml:space="preserve">10][</w:t>
      </w:r>
      <w:r>
        <w:rPr>
          <w:rFonts w:eastAsia="georgia" w:cs="georgia" w:ascii="georgia" w:hAnsi="georgia"/>
          <w:color w:val="000000"/>
        </w:rPr>
        <w:t xml:space="preserve">11]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section_4_aum_growth_organic_base_8fb95e"/>
      <w:r>
        <w:rPr>
          <w:rFonts w:eastAsia="georgia" w:cs="georgia" w:ascii="georgia" w:hAnsi="georgia"/>
          <w:b/>
          <w:color w:val="000000"/>
          <w:sz w:val="24"/>
        </w:rPr>
        <w:t xml:space="preserve">Section 4 — AUM Growth &amp; Organic Base Fee Growth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total_aum_history"/>
      <w:r>
        <w:rPr>
          <w:rFonts w:eastAsia="georgia" w:cs="georgia" w:ascii="georgia" w:hAnsi="georgia"/>
          <w:b/>
          <w:color w:val="000000"/>
          <w:sz w:val="24"/>
        </w:rPr>
        <w:t xml:space="preserve">Total AUM History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Fiscal 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Total AUM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YoY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Net Inflows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iShares/ETF AUM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$10.01T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$540B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$3.27T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10-K[^10]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$8.59T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-14.1%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$315B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$2.91T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10-K[^10]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$10.01T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+16.5%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$289B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$3.50T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10-K[^10]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$11.55T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+15.4%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$641B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$4.23T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10-K[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10][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$14.04T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+21.6%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$698B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$5.47T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10-K FY2025[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2][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4][^16]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AUM CAGR FY2022–FY2025: ~17.7%.</w:t>
      </w:r>
      <w:r>
        <w:rPr>
          <w:rFonts w:eastAsia="georgia" w:cs="georgia" w:ascii="georgia" w:hAnsi="georgia"/>
          <w:color w:val="000000"/>
        </w:rPr>
        <w:t xml:space="preserve"> The step-change in FY2025 to $14.04T reflects: (1) GIP consolidation (~$100B infrastructure AUM), (2) HPS consolidation (~$148B private credit), (3) record organic ETF inflows of $527B in 2025, and (4) positive equity market beta (+16.4% S&amp;P 500 in 2025).[</w:t>
      </w:r>
      <w:r>
        <w:rPr>
          <w:rFonts w:eastAsia="georgia" w:cs="georgia" w:ascii="georgia" w:hAnsi="georgia"/>
          <w:color w:val="000000"/>
          <w:vertAlign w:val="superscript"/>
        </w:rPr>
        <w:t xml:space="preserve">17][</w:t>
      </w:r>
      <w:r>
        <w:rPr>
          <w:rFonts w:eastAsia="georgia" w:cs="georgia" w:ascii="georgia" w:hAnsi="georgia"/>
          <w:color w:val="000000"/>
        </w:rPr>
        <w:t xml:space="preserve">18][</w:t>
      </w:r>
      <w:r>
        <w:rPr>
          <w:rFonts w:eastAsia="georgia" w:cs="georgia" w:ascii="georgia" w:hAnsi="georgia"/>
          <w:color w:val="000000"/>
          <w:vertAlign w:val="superscript"/>
        </w:rPr>
        <w:t xml:space="preserve">19][</w:t>
      </w:r>
      <w:r>
        <w:rPr>
          <w:rFonts w:eastAsia="georgia" w:cs="georgia" w:ascii="georgia" w:hAnsi="georgia"/>
          <w:color w:val="000000"/>
        </w:rPr>
        <w:t xml:space="preserve">20][</w:t>
      </w:r>
      <w:r>
        <w:rPr>
          <w:rFonts w:eastAsia="georgia" w:cs="georgia" w:ascii="georgia" w:hAnsi="georgia"/>
          <w:color w:val="000000"/>
          <w:vertAlign w:val="superscript"/>
        </w:rPr>
        <w:t xml:space="preserve">1][</w:t>
      </w:r>
      <w:r>
        <w:rPr>
          <w:rFonts w:eastAsia="georgia" w:cs="georgia" w:ascii="georgia" w:hAnsi="georgia"/>
          <w:color w:val="000000"/>
        </w:rPr>
        <w:t xml:space="preserve">2]</w:t>
      </w:r>
    </w:p>
    <w:p>
      <w:pPr>
        <w:spacing w:line="360" w:before="315" w:after="105" w:lineRule="auto"/>
        <w:ind w:left="-30"/>
        <w:jc w:val="left"/>
      </w:pPr>
      <w:bookmarkStart w:id="13" w:name="aum_by_asset_class_mix_fy2025"/>
      <w:r>
        <w:rPr>
          <w:rFonts w:eastAsia="georgia" w:cs="georgia" w:ascii="georgia" w:hAnsi="georgia"/>
          <w:b/>
          <w:color w:val="000000"/>
          <w:sz w:val="24"/>
        </w:rPr>
        <w:t xml:space="preserve">AUM by Asset Class Mix (FY2025)</w:t>
      </w:r>
      <w:bookmarkEnd w:id="1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Asset 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% of 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YoY Net Inflows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Equity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8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$7.79T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55.5%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$126B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Q4 Earnings[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Fixed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$3.27T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23.3%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$84B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Q4 Earnings[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Multi-Asset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$1.22T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Positive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Alternatives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$424B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$35B+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Q4 Earnings[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Cash Mgmt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$1.08T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$131B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Digital Assets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$78B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Growing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4" w:name="organic_base_fee_growth"/>
      <w:r>
        <w:rPr>
          <w:rFonts w:eastAsia="georgia" w:cs="georgia" w:ascii="georgia" w:hAnsi="georgia"/>
          <w:b/>
          <w:color w:val="000000"/>
          <w:sz w:val="24"/>
        </w:rPr>
        <w:t xml:space="preserve">Organic Base Fee Growth</w:t>
      </w:r>
      <w:bookmarkEnd w:id="1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BlackRock reports organic base fee growth rate as a KPI, defined as net new base fees earned on net inflows divided by beginning-period base fee run rate:[</w:t>
      </w:r>
      <w:r>
        <w:rPr>
          <w:rFonts w:eastAsia="georgia" w:cs="georgia" w:ascii="georgia" w:hAnsi="georgia"/>
          <w:color w:val="000000"/>
          <w:vertAlign w:val="superscript"/>
        </w:rPr>
        <w:t xml:space="preserve">21][</w:t>
      </w:r>
      <w:r>
        <w:rPr>
          <w:rFonts w:eastAsia="georgia" w:cs="georgia" w:ascii="georgia" w:hAnsi="georgia"/>
          <w:color w:val="000000"/>
        </w:rPr>
        <w:t xml:space="preserve">22]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Period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Organic Base Fee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~2% (inflows partially offset by market)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FY2022[^10]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~3–4%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10-K FY2023[^10]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6–7% (accelerated each quarter)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Q4 2024 Earnings[^13]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9% full year; 12% Q4 annualized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Q4 2025 Earnings[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 Target (ongoing)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5%+ (management baseline)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Q4 2025 Earnings[^1]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Note:</w:t>
      </w:r>
      <w:r>
        <w:rPr>
          <w:rFonts w:eastAsia="georgia" w:cs="georgia" w:ascii="georgia" w:hAnsi="georgia"/>
          <w:color w:val="000000"/>
        </w:rPr>
        <w:t xml:space="preserve"> Management's stated baseline is 5%+ organic base fee growth, with FY2025 dramatically exceeding this at 9% for the year and 12% in Q4. This is the critical driver for bull-case DCF revenue assumptions.[</w:t>
      </w:r>
      <w:r>
        <w:rPr>
          <w:rFonts w:eastAsia="georgia" w:cs="georgia" w:ascii="georgia" w:hAnsi="georgia"/>
          <w:color w:val="000000"/>
          <w:vertAlign w:val="superscript"/>
        </w:rPr>
        <w:t xml:space="preserve">1][</w:t>
      </w:r>
      <w:r>
        <w:rPr>
          <w:rFonts w:eastAsia="georgia" w:cs="georgia" w:ascii="georgia" w:hAnsi="georgia"/>
          <w:color w:val="000000"/>
        </w:rPr>
        <w:t xml:space="preserve">3]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section_5_revenue_segment_mix"/>
      <w:r>
        <w:rPr>
          <w:rFonts w:eastAsia="georgia" w:cs="georgia" w:ascii="georgia" w:hAnsi="georgia"/>
          <w:b/>
          <w:color w:val="000000"/>
          <w:sz w:val="24"/>
        </w:rPr>
        <w:t xml:space="preserve">Section 5 — Revenue Segment Mix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revenue_by_client_channel_fy2022_fy2025"/>
      <w:r>
        <w:rPr>
          <w:rFonts w:eastAsia="georgia" w:cs="georgia" w:ascii="georgia" w:hAnsi="georgia"/>
          <w:b/>
          <w:color w:val="000000"/>
          <w:sz w:val="24"/>
        </w:rPr>
        <w:t xml:space="preserve">Revenue by Client Channel (FY2022–FY2025)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Segment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ETFs / iShares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$5.67B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$5.83B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$6.74B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$8.08B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Institutional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$3.47B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$3.54B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$4.03B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9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$5.32B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Retail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$4.44B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$4.12B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$4.28B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$4.53B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Technology Services (Aladdin)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$1.36B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$1.49B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$1.60B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$1.98B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11][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Performance Fees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$514M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0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$554M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$1.21B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$1.42B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Cash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$864M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$909M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$1.05B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$1.25B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Technology Services (Aladdin)</w:t>
      </w:r>
      <w:r>
        <w:rPr>
          <w:rFonts w:eastAsia="georgia" w:cs="georgia" w:ascii="georgia" w:hAnsi="georgia"/>
          <w:color w:val="000000"/>
        </w:rPr>
        <w:t xml:space="preserve"> grew from </w:t>
      </w:r>
      <w:hyperlink r:id="rId116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$1.36B</w:t>
        </w:r>
      </w:hyperlink>
      <w:r>
        <w:rPr>
          <w:rFonts w:eastAsia="georgia" w:cs="georgia" w:ascii="georgia" w:hAnsi="georgia"/>
          <w:color w:val="000000"/>
        </w:rPr>
        <w:t xml:space="preserve"> in FY2022 to </w:t>
      </w:r>
      <w:hyperlink r:id="rId117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$1.98B</w:t>
        </w:r>
      </w:hyperlink>
      <w:r>
        <w:rPr>
          <w:rFonts w:eastAsia="georgia" w:cs="georgia" w:ascii="georgia" w:hAnsi="georgia"/>
          <w:color w:val="000000"/>
        </w:rPr>
        <w:t xml:space="preserve"> in FY2025, a ~13% CAGR, with Annual Contract Value (ACV) growing 31% YoY in FY2025 (including Preqin). This SaaS-like revenue stream is a key re-rating driver. Management noted 16% organic ACV growth in 2025.[</w:t>
      </w:r>
      <w:r>
        <w:rPr>
          <w:rFonts w:eastAsia="georgia" w:cs="georgia" w:ascii="georgia" w:hAnsi="georgia"/>
          <w:color w:val="000000"/>
          <w:vertAlign w:val="superscript"/>
        </w:rPr>
        <w:t xml:space="preserve">23][</w:t>
      </w:r>
      <w:r>
        <w:rPr>
          <w:rFonts w:eastAsia="georgia" w:cs="georgia" w:ascii="georgia" w:hAnsi="georgia"/>
          <w:color w:val="000000"/>
        </w:rPr>
        <w:t xml:space="preserve">1]</w:t>
      </w:r>
    </w:p>
    <w:p>
      <w:pPr>
        <w:spacing w:line="360" w:before="315" w:after="105" w:lineRule="auto"/>
        <w:ind w:left="-30"/>
        <w:jc w:val="left"/>
      </w:pPr>
      <w:bookmarkStart w:id="17" w:name="revenue_by_geography_fy2022_fy2025"/>
      <w:r>
        <w:rPr>
          <w:rFonts w:eastAsia="georgia" w:cs="georgia" w:ascii="georgia" w:hAnsi="georgia"/>
          <w:b/>
          <w:color w:val="000000"/>
          <w:sz w:val="24"/>
        </w:rPr>
        <w:t xml:space="preserve">Revenue by Geography (FY2022–FY2025)</w:t>
      </w:r>
      <w:bookmarkEnd w:id="1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Geography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Americas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$11.93B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1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$11.90B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$13.41B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$15.96B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EMEA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$5.16B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$5.21B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$6.14B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$7.17B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Asia-Pacific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$778M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$751M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$859M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2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$1.09B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BLK Annual Segments[^11]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section_6_consensus_estimates_fy2_dcd82d"/>
      <w:r>
        <w:rPr>
          <w:rFonts w:eastAsia="georgia" w:cs="georgia" w:ascii="georgia" w:hAnsi="georgia"/>
          <w:b/>
          <w:color w:val="000000"/>
          <w:sz w:val="24"/>
        </w:rPr>
        <w:t xml:space="preserve">Section 6 — Consensus Estimates (FY2026–FY2028)</w:t>
      </w:r>
      <w:bookmarkEnd w:id="18"/>
    </w:p>
    <w:p>
      <w:pPr>
        <w:spacing w:line="360" w:before="315" w:after="105" w:lineRule="auto"/>
        <w:ind w:left="-30"/>
        <w:jc w:val="left"/>
      </w:pPr>
      <w:bookmarkStart w:id="19" w:name="sell_side_consensus_summary"/>
      <w:r>
        <w:rPr>
          <w:rFonts w:eastAsia="georgia" w:cs="georgia" w:ascii="georgia" w:hAnsi="georgia"/>
          <w:b/>
          <w:color w:val="000000"/>
          <w:sz w:val="24"/>
        </w:rPr>
        <w:t xml:space="preserve">Sell-Side Consensus Summary</w:t>
      </w:r>
      <w:bookmarkEnd w:id="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FY2026E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FY2027E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FY2028E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$27.77B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$30.72B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$34.78B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FactSet/Bloomberg Consensus[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5][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EBITDA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$12.33B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$13.86B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$15.76B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FactSet/Bloomberg Consensus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Net Income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$8.32B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$8.95B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$9.88B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FactSet/Bloomberg Consensus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Diluted EPS (Adj)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$56.84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$63.99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$72.71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FactSet/Bloomberg Consensus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Free Cash 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$8.78B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$10.19B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$11.86B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FactSet/Bloomberg Consensus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Revenue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+14.7%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+10.6%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+13.2%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Derived from consensus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Consensus Revenue Growth:</w:t>
      </w:r>
      <w:r>
        <w:rPr>
          <w:rFonts w:eastAsia="georgia" w:cs="georgia" w:ascii="georgia" w:hAnsi="georgia"/>
          <w:color w:val="000000"/>
        </w:rPr>
        <w:t xml:space="preserve"> FY25→FY26 growth of +14.7% is above-trend; driven by first full-year consolidation of HPS (~$1.0B+ revenue contribution) and continued organic ETF/base fee growth. FY26→FY27 decelerates to +10.6% as comparables normalize.[</w:t>
      </w:r>
      <w:r>
        <w:rPr>
          <w:rFonts w:eastAsia="georgia" w:cs="georgia" w:ascii="georgia" w:hAnsi="georgia"/>
          <w:color w:val="000000"/>
          <w:vertAlign w:val="superscript"/>
        </w:rPr>
        <w:t xml:space="preserve">5][</w:t>
      </w:r>
      <w:r>
        <w:rPr>
          <w:rFonts w:eastAsia="georgia" w:cs="georgia" w:ascii="georgia" w:hAnsi="georgia"/>
          <w:color w:val="000000"/>
        </w:rPr>
        <w:t xml:space="preserve">6]</w:t>
      </w:r>
    </w:p>
    <w:p>
      <w:pPr>
        <w:spacing w:line="360" w:before="315" w:after="105" w:lineRule="auto"/>
        <w:ind w:left="-30"/>
        <w:jc w:val="left"/>
      </w:pPr>
      <w:bookmarkStart w:id="20" w:name="analyst_price_target_consensus"/>
      <w:r>
        <w:rPr>
          <w:rFonts w:eastAsia="georgia" w:cs="georgia" w:ascii="georgia" w:hAnsi="georgia"/>
          <w:b/>
          <w:color w:val="000000"/>
          <w:sz w:val="24"/>
        </w:rPr>
        <w:t xml:space="preserve">Analyst Price Target Consensus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Metric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Average Price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$1,326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Bloomberg/FactSet consensus[^6]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$1,456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Morgan Stanley (Overweight)[^6]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Low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$1,209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Conservative estimates[^6]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Current Price (Apr 2, 2026)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hyperlink r:id="rId14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$966.56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Market data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Consensus Rating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Strong Buy (9/10 bullish)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 Buy / 2 Hold / 0 Sell[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5][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Upside to Consensus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~37%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Derived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Forward P/E FY2026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17.0x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Derived from price/consensus EPS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Morgan Stanley</w:t>
      </w:r>
      <w:r>
        <w:rPr>
          <w:rFonts w:eastAsia="georgia" w:cs="georgia" w:ascii="georgia" w:hAnsi="georgia"/>
          <w:color w:val="000000"/>
        </w:rPr>
        <w:t xml:space="preserve"> (Mike Cyprys) maintained Overweight with $1,368 target as of April 1, 2026, marking down from $1,550 following tariff uncertainty. </w:t>
      </w:r>
      <w:r>
        <w:rPr>
          <w:rFonts w:eastAsia="georgia" w:cs="georgia" w:ascii="georgia" w:hAnsi="georgia"/>
          <w:b/>
          <w:color w:val="000000"/>
        </w:rPr>
        <w:t xml:space="preserve">B of A Securities</w:t>
      </w:r>
      <w:r>
        <w:rPr>
          <w:rFonts w:eastAsia="georgia" w:cs="georgia" w:ascii="georgia" w:hAnsi="georgia"/>
          <w:color w:val="000000"/>
        </w:rPr>
        <w:t xml:space="preserve"> (Craig Siegenthaler) and </w:t>
      </w:r>
      <w:r>
        <w:rPr>
          <w:rFonts w:eastAsia="georgia" w:cs="georgia" w:ascii="georgia" w:hAnsi="georgia"/>
          <w:b/>
          <w:color w:val="000000"/>
        </w:rPr>
        <w:t xml:space="preserve">Citigroup</w:t>
      </w:r>
      <w:r>
        <w:rPr>
          <w:rFonts w:eastAsia="georgia" w:cs="georgia" w:ascii="georgia" w:hAnsi="georgia"/>
          <w:color w:val="000000"/>
        </w:rPr>
        <w:t xml:space="preserve"> (Christopher Allen) both maintain Buy ratings with targets at $1,396 and $1,350 respectively.[^6]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section_7_key_acquisition_impacts_19e116"/>
      <w:r>
        <w:rPr>
          <w:rFonts w:eastAsia="georgia" w:cs="georgia" w:ascii="georgia" w:hAnsi="georgia"/>
          <w:b/>
          <w:color w:val="000000"/>
          <w:sz w:val="24"/>
        </w:rPr>
        <w:t xml:space="preserve">Section 7 — Key Acquisition Impacts on Model Inputs</w:t>
      </w:r>
      <w:bookmarkEnd w:id="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Acquisition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Deal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AUM Added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Annual Revenue Contribution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Global Infrastructure Partners (GIP)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$12.5B ($3B cash + stock)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Oct 1,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~$100B infra AUM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~$750M run-rate management fees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18][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20][^24]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HPS Investment Partners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~$12B (all stock)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Mid-2025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~$148B private credit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~$1.0B+ (est. on $220B combined)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19][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25][^26]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Preqin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£2.55B (~$3.2B cash)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Q4 2024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N/A (data platform)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~$240M highly recurring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</w:t>
            </w:r>
            <w:r>
              <w:rPr>
                <w:rFonts w:eastAsia="georgia" w:cs="georgia" w:ascii="georgia" w:hAnsi="georgia"/>
                <w:color w:val="000000"/>
                <w:sz w:val="17"/>
                <w:vertAlign w:val="superscript"/>
              </w:rPr>
              <w:t xml:space="preserve">27][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28]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Strategic context:</w:t>
      </w:r>
      <w:r>
        <w:rPr>
          <w:rFonts w:eastAsia="georgia" w:cs="georgia" w:ascii="georgia" w:hAnsi="georgia"/>
          <w:color w:val="000000"/>
        </w:rPr>
        <w:t xml:space="preserve"> The three acquisitions collectively add ~$2B+ of incremental annual revenue, explain the step-up in D&amp;A to </w:t>
      </w:r>
      <w:hyperlink r:id="rId14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$1.13B</w:t>
        </w:r>
      </w:hyperlink>
      <w:r>
        <w:rPr>
          <w:rFonts w:eastAsia="georgia" w:cs="georgia" w:ascii="georgia" w:hAnsi="georgia"/>
          <w:color w:val="000000"/>
        </w:rPr>
        <w:t xml:space="preserve"> in FY2025, and are the primary reason GAAP FCF ($3.55B) diverges sharply from the FY2026 consensus FCF estimate (</w:t>
      </w:r>
      <w:hyperlink r:id="rId150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$8.78B</w:t>
        </w:r>
      </w:hyperlink>
      <w:r>
        <w:rPr>
          <w:rFonts w:eastAsia="georgia" w:cs="georgia" w:ascii="georgia" w:hAnsi="georgia"/>
          <w:color w:val="000000"/>
        </w:rPr>
        <w:t xml:space="preserve">). Post-integration normalization is the single largest uncertainty band in the bull-case scenario.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section_8_dcf_scenario_framework_inputs"/>
      <w:r>
        <w:rPr>
          <w:rFonts w:eastAsia="georgia" w:cs="georgia" w:ascii="georgia" w:hAnsi="georgia"/>
          <w:b/>
          <w:color w:val="000000"/>
          <w:sz w:val="24"/>
        </w:rPr>
        <w:t xml:space="preserve">Section 8 — DCF Scenario Framework Inputs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discount_rate_wacc_inputs"/>
      <w:r>
        <w:rPr>
          <w:rFonts w:eastAsia="georgia" w:cs="georgia" w:ascii="georgia" w:hAnsi="georgia"/>
          <w:b/>
          <w:color w:val="000000"/>
          <w:sz w:val="24"/>
        </w:rPr>
        <w:t xml:space="preserve">Discount Rate (WACC) Inputs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Risk-Free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3.95%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10-year UST yield[^29]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Equity Beta (5-year monthly)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0.82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AlphaSpread / Bloomberg[^29]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Equity Risk 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Damodaran / Market implied[^29]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Cost of Equity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7.38%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 = Rf + β × ERP[^29]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Cost of Debt (pre-tax)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4.33%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Avg. yield on BLK debt[^29]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Debt Weight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7.17%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Market cap weighting[^29]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7.16%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Weighted average[^29]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Alternative WACC (GuruFocus):</w:t>
      </w:r>
      <w:r>
        <w:rPr>
          <w:rFonts w:eastAsia="georgia" w:cs="georgia" w:ascii="georgia" w:hAnsi="georgia"/>
          <w:color w:val="000000"/>
        </w:rPr>
        <w:t xml:space="preserve"> 12.05%, driven by higher implied market risk premium and total debt assumption. The ~500 bps range in WACC estimates is the largest single source of terminal value uncertainty and merits sensitivity analysis.[^30]</w:t>
      </w:r>
    </w:p>
    <w:p>
      <w:pPr>
        <w:spacing w:line="360" w:before="315" w:after="105" w:lineRule="auto"/>
        <w:ind w:left="-30"/>
        <w:jc w:val="left"/>
      </w:pPr>
      <w:bookmarkStart w:id="24" w:name="bm_3_scenario_parameter_summary"/>
      <w:r>
        <w:rPr>
          <w:rFonts w:eastAsia="georgia" w:cs="georgia" w:ascii="georgia" w:hAnsi="georgia"/>
          <w:b/>
          <w:color w:val="000000"/>
          <w:sz w:val="24"/>
        </w:rPr>
        <w:t xml:space="preserve">3-Scenario Parameter Summary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following parameters are designed to populate bear / base / bull scenarios in a DCF model: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 Parameter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Bear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Base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Bull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Rationale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FY2026E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$25.5B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$27.8B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$29.5B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Below/at/above consensus </w:t>
            </w:r>
            <w:hyperlink r:id="rId15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$27.77B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[^5]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FY2026–2030 Rev CAGR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Historical 3yr CAGR 10.7%; bull = 5%+ organic BF growth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Adj. EBIT Margin (terminal)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Historical 41–45% range; bull adds Aladdin leverage[^1]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Adj. FCF Margin (terminal)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FY2022–FY2024 avg ~23%; bull = post-integration efficiency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Capex /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1.7%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 high 3.0%; FY2024 low 1.2%; normalizing upward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Terminal Growth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Long-run nominal GDP range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WACC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7.5%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7.0%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Sensitivity around 7.16% base[^29]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AUM CAGR (FY2025–2030)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FY2022–FY2025 CAGR ~17.7%; normalized post-acquisition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Organic Base Fee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9%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Mgmt. target 5%+; FY2025 actual 9%[^1]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Aladdin/Tech ACV Growth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 organic ACV growth 16%[^1]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Effective Tax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22%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21%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FY2024 effective rate 21.5%[^10]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SBC as % of 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6%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FY2025 SBC </w:t>
            </w:r>
            <w:hyperlink r:id="rId15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</w:rPr>
                <w:t xml:space="preserve">$1.31B</w:t>
              </w:r>
            </w:hyperlink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=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references"/>
      <w:r>
        <w:rPr>
          <w:rFonts w:eastAsia="georgia" w:cs="georgia" w:ascii="georgia" w:hAnsi="georgia"/>
          <w:b/>
          <w:color w:val="000000"/>
          <w:sz w:val="24"/>
        </w:rPr>
        <w:t xml:space="preserve">References</w:t>
      </w:r>
      <w:bookmarkEnd w:id="25"/>
    </w:p>
    <w:p>
      <w:pPr>
        <w:numPr>
          <w:ilvl w:val="0"/>
          <w:numId w:val="1"/>
        </w:numPr>
        <w:spacing w:line="360" w:after="210" w:lineRule="auto"/>
      </w:pPr>
      <w:hyperlink r:id="rId15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Inc Earnings - Q4 2025 Analysis &amp; Highlights - AlphaSense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Get a complete overview of BlackRock Inc (BLK) earnings data, including key insights, sentiment scor...</w:t>
      </w:r>
    </w:p>
    <w:p>
      <w:pPr>
        <w:numPr>
          <w:ilvl w:val="0"/>
          <w:numId w:val="1"/>
        </w:numPr>
        <w:spacing w:line="360" w:after="210" w:lineRule="auto"/>
      </w:pPr>
      <w:hyperlink r:id="rId15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BlackRock's Record $14.04 Trillion AUM and the Reshaping of Fee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BlackRock's Record $14.04 Trillion AUM and the Reshaping of Fee-Based Revenue in Asset Management</w:t>
      </w:r>
    </w:p>
    <w:p>
      <w:pPr>
        <w:numPr>
          <w:ilvl w:val="0"/>
          <w:numId w:val="1"/>
        </w:numPr>
        <w:spacing w:line="360" w:after="210" w:lineRule="auto"/>
      </w:pPr>
      <w:hyperlink r:id="rId15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(BLK) Q4 2025 earnings review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Organic base fee growth hit 12% annualized in Q4, well above the historical 5% target. This was driv...</w:t>
      </w:r>
    </w:p>
    <w:p>
      <w:pPr>
        <w:numPr>
          <w:ilvl w:val="0"/>
          <w:numId w:val="1"/>
        </w:numPr>
        <w:spacing w:line="360" w:after="210" w:lineRule="auto"/>
      </w:pPr>
      <w:hyperlink r:id="rId15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Caps 2025 With Record $14 Trillion in Assets - WSJ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Total revenue jumped 23% to $7.01 billion. BlackRock's assets under management climbed 22% to $14.04...</w:t>
      </w:r>
    </w:p>
    <w:p>
      <w:pPr>
        <w:numPr>
          <w:ilvl w:val="0"/>
          <w:numId w:val="1"/>
        </w:numPr>
        <w:spacing w:line="360" w:after="210" w:lineRule="auto"/>
      </w:pPr>
      <w:hyperlink r:id="rId15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BLK Stock Forecast 2026 - BlackRock Price Targets &amp; Predictions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Based on our analysis of 28 Wall Street analysts, BLK has a bullish consensus with a median price ta...</w:t>
      </w:r>
    </w:p>
    <w:p>
      <w:pPr>
        <w:numPr>
          <w:ilvl w:val="0"/>
          <w:numId w:val="1"/>
        </w:numPr>
        <w:spacing w:line="360" w:after="210" w:lineRule="auto"/>
      </w:pPr>
      <w:hyperlink r:id="rId15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(NYSE:BLK) Given Average Rating of "Moderate Buy" by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Analysts give BlackRock a consensus rating of "Moderate Buy" (19 firms), with an average 12‑month pr...</w:t>
      </w:r>
    </w:p>
    <w:p>
      <w:pPr>
        <w:numPr>
          <w:ilvl w:val="0"/>
          <w:numId w:val="1"/>
        </w:numPr>
        <w:spacing w:line="360" w:after="210" w:lineRule="auto"/>
      </w:pPr>
      <w:hyperlink r:id="rId15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beats fourth quarter expectations as assets hit $14 trillion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For the full year 2025, BlackRock reported adjusted EPS of $48.09, with total revenue increasing 19%...</w:t>
      </w:r>
    </w:p>
    <w:p>
      <w:pPr>
        <w:numPr>
          <w:ilvl w:val="0"/>
          <w:numId w:val="1"/>
        </w:numPr>
        <w:spacing w:line="360" w:after="210" w:lineRule="auto"/>
      </w:pPr>
      <w:hyperlink r:id="rId16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BlackRock's assets hit record $14 trillion on fourth-quarter markets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Long-term ‌net inflows totaled about $267.8 billion, led by continued strength in its ETF business, ...</w:t>
      </w:r>
    </w:p>
    <w:p>
      <w:pPr>
        <w:numPr>
          <w:ilvl w:val="0"/>
          <w:numId w:val="1"/>
        </w:numPr>
        <w:spacing w:line="360" w:after="210" w:lineRule="auto"/>
      </w:pPr>
      <w:hyperlink r:id="rId16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Is BlackRock, Inc. (BLK) One of the Stocks that could Skyrocket in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Full-year revenue rose 19% year-over-year to $24.0 billion, while operating income increased 18% to ...</w:t>
      </w:r>
    </w:p>
    <w:p>
      <w:pPr>
        <w:numPr>
          <w:ilvl w:val="0"/>
          <w:numId w:val="1"/>
        </w:numPr>
        <w:spacing w:line="360" w:after="210" w:lineRule="auto"/>
      </w:pPr>
      <w:hyperlink r:id="rId16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10-K - SEC.gov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 reports its financial results in accordance with accounting principles generally accepted ...</w:t>
      </w:r>
    </w:p>
    <w:p>
      <w:pPr>
        <w:numPr>
          <w:ilvl w:val="0"/>
          <w:numId w:val="1"/>
        </w:numPr>
        <w:spacing w:line="360" w:after="210" w:lineRule="auto"/>
      </w:pPr>
      <w:hyperlink r:id="rId16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10-K - SEC.gov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FORM 10-K. (Mark One). ☒. ANNUAL REPORT PURSUANT TO SECTION 13 OR 15(d) OF THE SECURITIES EXCHANGE A...</w:t>
      </w:r>
    </w:p>
    <w:p>
      <w:pPr>
        <w:numPr>
          <w:ilvl w:val="0"/>
          <w:numId w:val="1"/>
        </w:numPr>
        <w:spacing w:line="360" w:after="210" w:lineRule="auto"/>
      </w:pPr>
      <w:hyperlink r:id="rId16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lifts 2025 revenue and AUM to $14T | BLK Annual Report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Revenue rose to $24.2B and AUM hit $14.0T in 2025, as BlackRock drove strong ETF inflows, expanded a...</w:t>
      </w:r>
    </w:p>
    <w:p>
      <w:pPr>
        <w:numPr>
          <w:ilvl w:val="0"/>
          <w:numId w:val="1"/>
        </w:numPr>
        <w:spacing w:line="360" w:after="210" w:lineRule="auto"/>
      </w:pPr>
      <w:hyperlink r:id="rId16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saw “record” $641bn inflows in 2024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This boosted the investment manager's assets under management (AUM) to an all-time high of $11.6tn b...</w:t>
      </w:r>
    </w:p>
    <w:p>
      <w:pPr>
        <w:numPr>
          <w:ilvl w:val="0"/>
          <w:numId w:val="1"/>
        </w:numPr>
        <w:spacing w:line="360" w:after="210" w:lineRule="auto"/>
      </w:pPr>
      <w:hyperlink r:id="rId16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Reports Full Year 2025 Diluted EPS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 Reports Full Year 2025 Diluted EPS of $35.31, or $48.09 as adjusted · $14 trillion in AUM ...</w:t>
      </w:r>
    </w:p>
    <w:p>
      <w:pPr>
        <w:numPr>
          <w:ilvl w:val="0"/>
          <w:numId w:val="1"/>
        </w:numPr>
        <w:spacing w:line="360" w:after="210" w:lineRule="auto"/>
      </w:pPr>
      <w:hyperlink r:id="rId16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BlackRock's 3Q 2025 Earnings: Record AUM &amp; Resilient Growth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Synopsis BlackRock, Inc. (NYSE: BLK) third-quarter (3Q) 2025 earnings — a defining moment where the ...</w:t>
      </w:r>
    </w:p>
    <w:p>
      <w:pPr>
        <w:numPr>
          <w:ilvl w:val="0"/>
          <w:numId w:val="1"/>
        </w:numPr>
        <w:spacing w:line="360" w:after="210" w:lineRule="auto"/>
      </w:pPr>
      <w:hyperlink r:id="rId16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BlackRock's assets hit record $14 trillion on fourth-quarter markets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BlackRock's assets under management rose to $14.04 trillion in the quarter, up from $11.55 trillion ...</w:t>
      </w:r>
    </w:p>
    <w:p>
      <w:pPr>
        <w:numPr>
          <w:ilvl w:val="0"/>
          <w:numId w:val="1"/>
        </w:numPr>
        <w:spacing w:line="360" w:after="210" w:lineRule="auto"/>
      </w:pPr>
      <w:hyperlink r:id="rId16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Q4 2025 slides: AUM hits $14 trillion, operating margin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 reported fourth quarter 2025 revenue of $7.01 billion, a 23% increase from the $5.68 billi...</w:t>
      </w:r>
    </w:p>
    <w:p>
      <w:pPr>
        <w:numPr>
          <w:ilvl w:val="0"/>
          <w:numId w:val="1"/>
        </w:numPr>
        <w:spacing w:line="360" w:after="210" w:lineRule="auto"/>
      </w:pPr>
      <w:hyperlink r:id="rId17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Completes Acquisition of Global Infrastructure Partners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With this combination, BlackRock consolidates over $100 billion of private markets AUM, and approxim...</w:t>
      </w:r>
    </w:p>
    <w:p>
      <w:pPr>
        <w:numPr>
          <w:ilvl w:val="0"/>
          <w:numId w:val="1"/>
        </w:numPr>
        <w:spacing w:line="360" w:after="210" w:lineRule="auto"/>
      </w:pPr>
      <w:hyperlink r:id="rId17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targets private credit growth with $12 billion HPS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 (BLK.N) will buy private credit firm HPS Investment Partners for about $12 billion in an a...</w:t>
      </w:r>
    </w:p>
    <w:p>
      <w:pPr>
        <w:numPr>
          <w:ilvl w:val="0"/>
          <w:numId w:val="1"/>
        </w:numPr>
        <w:spacing w:line="360" w:after="210" w:lineRule="auto"/>
      </w:pPr>
      <w:hyperlink r:id="rId17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BlackRock's Purchase of GIP Deepens Its Alts Exposure - AI-CIO.com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GIP has about $100 billion in assets, which will supplement BlackRock's $47 billion in infrastructur...</w:t>
      </w:r>
    </w:p>
    <w:p>
      <w:pPr>
        <w:numPr>
          <w:ilvl w:val="0"/>
          <w:numId w:val="1"/>
        </w:numPr>
        <w:spacing w:line="360" w:after="210" w:lineRule="auto"/>
      </w:pPr>
      <w:hyperlink r:id="rId173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Earnings Release Supplement</w:t>
        </w:r>
      </w:hyperlink>
    </w:p>
    <w:p>
      <w:pPr>
        <w:numPr>
          <w:ilvl w:val="0"/>
          <w:numId w:val="1"/>
        </w:numPr>
        <w:spacing w:line="360" w:after="210" w:lineRule="auto"/>
      </w:pPr>
      <w:hyperlink r:id="rId174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Earnings Release Supplement - SEC.gov</w:t>
        </w:r>
      </w:hyperlink>
    </w:p>
    <w:p>
      <w:pPr>
        <w:numPr>
          <w:ilvl w:val="0"/>
          <w:numId w:val="1"/>
        </w:numPr>
        <w:spacing w:line="360" w:after="210" w:lineRule="auto"/>
      </w:pPr>
      <w:hyperlink r:id="rId17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What is Growth Strategy and Future Prospects of BlackRock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Learn how BlackRock's growth strategy drives its leadership in investment management. Discover key t...</w:t>
      </w:r>
    </w:p>
    <w:p>
      <w:pPr>
        <w:numPr>
          <w:ilvl w:val="0"/>
          <w:numId w:val="1"/>
        </w:numPr>
        <w:spacing w:line="360" w:after="210" w:lineRule="auto"/>
      </w:pPr>
      <w:hyperlink r:id="rId176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Completes Acquisition of Global Infrastructure Partners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... million of run rate management fees, boosting private markets AUM by approximately 40% and expan...</w:t>
      </w:r>
    </w:p>
    <w:p>
      <w:pPr>
        <w:numPr>
          <w:ilvl w:val="0"/>
          <w:numId w:val="1"/>
        </w:numPr>
        <w:spacing w:line="360" w:after="210" w:lineRule="auto"/>
      </w:pPr>
      <w:hyperlink r:id="rId177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Acquires Private Credit Manager HPS for $12 Billion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 (BLK) has agreed to acquire private credit firm HPS Investment Partners in a deal valuing ...</w:t>
      </w:r>
    </w:p>
    <w:p>
      <w:pPr>
        <w:numPr>
          <w:ilvl w:val="0"/>
          <w:numId w:val="1"/>
        </w:numPr>
        <w:spacing w:line="360" w:after="210" w:lineRule="auto"/>
      </w:pPr>
      <w:hyperlink r:id="rId178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to Acquire HPS Investment Partners to Deliver Integrated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 and HPS will form a new private financing solutions business unit led by Scott Kapnick, Sc...</w:t>
      </w:r>
    </w:p>
    <w:p>
      <w:pPr>
        <w:numPr>
          <w:ilvl w:val="0"/>
          <w:numId w:val="1"/>
        </w:numPr>
        <w:spacing w:line="360" w:after="210" w:lineRule="auto"/>
      </w:pPr>
      <w:hyperlink r:id="rId179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to Acquire Preqin, Leading Private Markets Data ...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In 2024, Preqin is expected to generate ~$240 million of highly recurring revenue and has grown appr...</w:t>
      </w:r>
    </w:p>
    <w:p>
      <w:pPr>
        <w:numPr>
          <w:ilvl w:val="0"/>
          <w:numId w:val="1"/>
        </w:numPr>
        <w:spacing w:line="360" w:after="210" w:lineRule="auto"/>
      </w:pPr>
      <w:hyperlink r:id="rId180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Press Release: BlackRock to Acquire Preqin | Aladdin®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Under the terms of the transaction, BlackRock will acquire 100% of the business and assets of Preqin...</w:t>
      </w:r>
    </w:p>
    <w:p>
      <w:pPr>
        <w:numPr>
          <w:ilvl w:val="0"/>
          <w:numId w:val="1"/>
        </w:numPr>
        <w:spacing w:line="360" w:after="210" w:lineRule="auto"/>
      </w:pPr>
      <w:hyperlink r:id="rId181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Inc (BLK) Discount Rate - WACC &amp; Cost of Equity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BLK 's current Cost of Equity is 7.81%, while its WACC stands at 7.58%. The selection of the appropr...</w:t>
      </w:r>
    </w:p>
    <w:p>
      <w:pPr>
        <w:numPr>
          <w:ilvl w:val="0"/>
          <w:numId w:val="1"/>
        </w:numPr>
        <w:spacing w:line="360" w:after="210" w:lineRule="auto"/>
      </w:pPr>
      <w:hyperlink r:id="rId182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BLACKROCK WACC %: 12.05% — Near Median - GuruFocus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BlackRock BLK 94 WACC % is 12.05% as of Mar. 26, 2026, which is 8% above its 10-year median of 11.19...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ir.blackrock.com" TargetMode="External"/><Relationship Id="rId6" Type="http://schemas.openxmlformats.org/officeDocument/2006/relationships/hyperlink" Target="pplx://action/claim?id=1" TargetMode="External"/><Relationship Id="rId7" Type="http://schemas.openxmlformats.org/officeDocument/2006/relationships/hyperlink" Target="pplx://action/claim?id=2" TargetMode="External"/><Relationship Id="rId8" Type="http://schemas.openxmlformats.org/officeDocument/2006/relationships/hyperlink" Target="pplx://action/claim?id=2" TargetMode="External"/><Relationship Id="rId9" Type="http://schemas.openxmlformats.org/officeDocument/2006/relationships/hyperlink" Target="pplx://action/claim?id=3" TargetMode="External"/><Relationship Id="rId10" Type="http://schemas.openxmlformats.org/officeDocument/2006/relationships/hyperlink" Target="pplx://action/claim?id=4" TargetMode="External"/><Relationship Id="rId11" Type="http://schemas.openxmlformats.org/officeDocument/2006/relationships/hyperlink" Target="pplx://action/claim?id=5" TargetMode="External"/><Relationship Id="rId12" Type="http://schemas.openxmlformats.org/officeDocument/2006/relationships/hyperlink" Target="pplx://action/claim?id=6" TargetMode="External"/><Relationship Id="rId13" Type="http://schemas.openxmlformats.org/officeDocument/2006/relationships/hyperlink" Target="pplx://action/claim?id=7" TargetMode="External"/><Relationship Id="rId14" Type="http://schemas.openxmlformats.org/officeDocument/2006/relationships/hyperlink" Target="pplx://action/claim?id=8" TargetMode="External"/><Relationship Id="rId15" Type="http://schemas.openxmlformats.org/officeDocument/2006/relationships/hyperlink" Target="pplx://action/claim?id=1" TargetMode="External"/><Relationship Id="rId16" Type="http://schemas.openxmlformats.org/officeDocument/2006/relationships/hyperlink" Target="pplx://action/claim?id=9" TargetMode="External"/><Relationship Id="rId17" Type="http://schemas.openxmlformats.org/officeDocument/2006/relationships/hyperlink" Target="pplx://action/claim?id=10" TargetMode="External"/><Relationship Id="rId18" Type="http://schemas.openxmlformats.org/officeDocument/2006/relationships/hyperlink" Target="pplx://action/claim?id=9" TargetMode="External"/><Relationship Id="rId19" Type="http://schemas.openxmlformats.org/officeDocument/2006/relationships/hyperlink" Target="pplx://action/claim?id=11" TargetMode="External"/><Relationship Id="rId20" Type="http://schemas.openxmlformats.org/officeDocument/2006/relationships/hyperlink" Target="pplx://action/claim?id=12" TargetMode="External"/><Relationship Id="rId21" Type="http://schemas.openxmlformats.org/officeDocument/2006/relationships/hyperlink" Target="pplx://action/claim?id=11" TargetMode="External"/><Relationship Id="rId22" Type="http://schemas.openxmlformats.org/officeDocument/2006/relationships/hyperlink" Target="pplx://action/claim?id=13" TargetMode="External"/><Relationship Id="rId23" Type="http://schemas.openxmlformats.org/officeDocument/2006/relationships/hyperlink" Target="pplx://action/claim?id=14" TargetMode="External"/><Relationship Id="rId24" Type="http://schemas.openxmlformats.org/officeDocument/2006/relationships/hyperlink" Target="pplx://action/claim?id=13" TargetMode="External"/><Relationship Id="rId25" Type="http://schemas.openxmlformats.org/officeDocument/2006/relationships/hyperlink" Target="pplx://action/claim?id=3" TargetMode="External"/><Relationship Id="rId26" Type="http://schemas.openxmlformats.org/officeDocument/2006/relationships/hyperlink" Target="pplx://action/claim?id=15" TargetMode="External"/><Relationship Id="rId27" Type="http://schemas.openxmlformats.org/officeDocument/2006/relationships/hyperlink" Target="pplx://action/claim?id=3" TargetMode="External"/><Relationship Id="rId28" Type="http://schemas.openxmlformats.org/officeDocument/2006/relationships/hyperlink" Target="pplx://action/claim?id=16" TargetMode="External"/><Relationship Id="rId29" Type="http://schemas.openxmlformats.org/officeDocument/2006/relationships/hyperlink" Target="pplx://action/claim?id=17" TargetMode="External"/><Relationship Id="rId30" Type="http://schemas.openxmlformats.org/officeDocument/2006/relationships/hyperlink" Target="pplx://action/claim?id=18" TargetMode="External"/><Relationship Id="rId31" Type="http://schemas.openxmlformats.org/officeDocument/2006/relationships/hyperlink" Target="pplx://action/claim?id=19" TargetMode="External"/><Relationship Id="rId32" Type="http://schemas.openxmlformats.org/officeDocument/2006/relationships/hyperlink" Target="pplx://action/claim?id=20" TargetMode="External"/><Relationship Id="rId33" Type="http://schemas.openxmlformats.org/officeDocument/2006/relationships/hyperlink" Target="pplx://action/claim?id=21" TargetMode="External"/><Relationship Id="rId34" Type="http://schemas.openxmlformats.org/officeDocument/2006/relationships/hyperlink" Target="pplx://action/claim?id=22" TargetMode="External"/><Relationship Id="rId35" Type="http://schemas.openxmlformats.org/officeDocument/2006/relationships/hyperlink" Target="pplx://action/claim?id=2" TargetMode="External"/><Relationship Id="rId36" Type="http://schemas.openxmlformats.org/officeDocument/2006/relationships/hyperlink" Target="pplx://action/claim?id=22" TargetMode="External"/><Relationship Id="rId37" Type="http://schemas.openxmlformats.org/officeDocument/2006/relationships/hyperlink" Target="pplx://action/claim?id=15" TargetMode="External"/><Relationship Id="rId38" Type="http://schemas.openxmlformats.org/officeDocument/2006/relationships/hyperlink" Target="pplx://action/claim?id=23" TargetMode="External"/><Relationship Id="rId39" Type="http://schemas.openxmlformats.org/officeDocument/2006/relationships/hyperlink" Target="pplx://action/claim?id=24" TargetMode="External"/><Relationship Id="rId40" Type="http://schemas.openxmlformats.org/officeDocument/2006/relationships/hyperlink" Target="pplx://action/claim?id=25" TargetMode="External"/><Relationship Id="rId41" Type="http://schemas.openxmlformats.org/officeDocument/2006/relationships/hyperlink" Target="pplx://action/claim?id=26" TargetMode="External"/><Relationship Id="rId42" Type="http://schemas.openxmlformats.org/officeDocument/2006/relationships/hyperlink" Target="pplx://action/claim?id=27" TargetMode="External"/><Relationship Id="rId43" Type="http://schemas.openxmlformats.org/officeDocument/2006/relationships/hyperlink" Target="pplx://action/claim?id=28" TargetMode="External"/><Relationship Id="rId44" Type="http://schemas.openxmlformats.org/officeDocument/2006/relationships/hyperlink" Target="pplx://action/claim?id=29" TargetMode="External"/><Relationship Id="rId45" Type="http://schemas.openxmlformats.org/officeDocument/2006/relationships/hyperlink" Target="pplx://action/claim?id=30" TargetMode="External"/><Relationship Id="rId46" Type="http://schemas.openxmlformats.org/officeDocument/2006/relationships/hyperlink" Target="pplx://action/claim?id=31" TargetMode="External"/><Relationship Id="rId47" Type="http://schemas.openxmlformats.org/officeDocument/2006/relationships/hyperlink" Target="pplx://action/claim?id=32" TargetMode="External"/><Relationship Id="rId48" Type="http://schemas.openxmlformats.org/officeDocument/2006/relationships/hyperlink" Target="pplx://action/claim?id=33" TargetMode="External"/><Relationship Id="rId49" Type="http://schemas.openxmlformats.org/officeDocument/2006/relationships/hyperlink" Target="pplx://action/claim?id=34" TargetMode="External"/><Relationship Id="rId50" Type="http://schemas.openxmlformats.org/officeDocument/2006/relationships/hyperlink" Target="pplx://action/claim?id=35" TargetMode="External"/><Relationship Id="rId51" Type="http://schemas.openxmlformats.org/officeDocument/2006/relationships/hyperlink" Target="pplx://action/claim?id=36" TargetMode="External"/><Relationship Id="rId52" Type="http://schemas.openxmlformats.org/officeDocument/2006/relationships/hyperlink" Target="pplx://action/claim?id=36" TargetMode="External"/><Relationship Id="rId53" Type="http://schemas.openxmlformats.org/officeDocument/2006/relationships/hyperlink" Target="pplx://action/claim?id=37" TargetMode="External"/><Relationship Id="rId54" Type="http://schemas.openxmlformats.org/officeDocument/2006/relationships/hyperlink" Target="pplx://action/claim?id=38" TargetMode="External"/><Relationship Id="rId55" Type="http://schemas.openxmlformats.org/officeDocument/2006/relationships/hyperlink" Target="pplx://action/claim?id=39" TargetMode="External"/><Relationship Id="rId56" Type="http://schemas.openxmlformats.org/officeDocument/2006/relationships/hyperlink" Target="pplx://action/claim?id=40" TargetMode="External"/><Relationship Id="rId57" Type="http://schemas.openxmlformats.org/officeDocument/2006/relationships/hyperlink" Target="pplx://action/claim?id=40" TargetMode="External"/><Relationship Id="rId58" Type="http://schemas.openxmlformats.org/officeDocument/2006/relationships/hyperlink" Target="pplx://action/claim?id=41" TargetMode="External"/><Relationship Id="rId59" Type="http://schemas.openxmlformats.org/officeDocument/2006/relationships/hyperlink" Target="pplx://action/claim?id=42" TargetMode="External"/><Relationship Id="rId60" Type="http://schemas.openxmlformats.org/officeDocument/2006/relationships/hyperlink" Target="pplx://action/claim?id=43" TargetMode="External"/><Relationship Id="rId61" Type="http://schemas.openxmlformats.org/officeDocument/2006/relationships/hyperlink" Target="pplx://action/claim?id=44" TargetMode="External"/><Relationship Id="rId62" Type="http://schemas.openxmlformats.org/officeDocument/2006/relationships/hyperlink" Target="pplx://action/claim?id=44" TargetMode="External"/><Relationship Id="rId63" Type="http://schemas.openxmlformats.org/officeDocument/2006/relationships/hyperlink" Target="pplx://action/claim?id=45" TargetMode="External"/><Relationship Id="rId64" Type="http://schemas.openxmlformats.org/officeDocument/2006/relationships/hyperlink" Target="pplx://action/claim?id=46" TargetMode="External"/><Relationship Id="rId65" Type="http://schemas.openxmlformats.org/officeDocument/2006/relationships/hyperlink" Target="pplx://action/claim?id=47" TargetMode="External"/><Relationship Id="rId66" Type="http://schemas.openxmlformats.org/officeDocument/2006/relationships/hyperlink" Target="pplx://action/claim?id=48" TargetMode="External"/><Relationship Id="rId67" Type="http://schemas.openxmlformats.org/officeDocument/2006/relationships/hyperlink" Target="pplx://action/claim?id=48" TargetMode="External"/><Relationship Id="rId68" Type="http://schemas.openxmlformats.org/officeDocument/2006/relationships/hyperlink" Target="pplx://action/claim?id=47" TargetMode="External"/><Relationship Id="rId69" Type="http://schemas.openxmlformats.org/officeDocument/2006/relationships/hyperlink" Target="pplx://action/claim?id=49" TargetMode="External"/><Relationship Id="rId70" Type="http://schemas.openxmlformats.org/officeDocument/2006/relationships/hyperlink" Target="pplx://action/claim?id=50" TargetMode="External"/><Relationship Id="rId71" Type="http://schemas.openxmlformats.org/officeDocument/2006/relationships/hyperlink" Target="pplx://action/claim?id=51" TargetMode="External"/><Relationship Id="rId72" Type="http://schemas.openxmlformats.org/officeDocument/2006/relationships/hyperlink" Target="pplx://action/claim?id=34" TargetMode="External"/><Relationship Id="rId73" Type="http://schemas.openxmlformats.org/officeDocument/2006/relationships/hyperlink" Target="pplx://action/claim?id=52" TargetMode="External"/><Relationship Id="rId74" Type="http://schemas.openxmlformats.org/officeDocument/2006/relationships/hyperlink" Target="pplx://action/claim?id=38" TargetMode="External"/><Relationship Id="rId75" Type="http://schemas.openxmlformats.org/officeDocument/2006/relationships/hyperlink" Target="pplx://action/claim?id=53" TargetMode="External"/><Relationship Id="rId76" Type="http://schemas.openxmlformats.org/officeDocument/2006/relationships/hyperlink" Target="pplx://action/claim?id=42" TargetMode="External"/><Relationship Id="rId77" Type="http://schemas.openxmlformats.org/officeDocument/2006/relationships/hyperlink" Target="pplx://action/claim?id=24" TargetMode="External"/><Relationship Id="rId78" Type="http://schemas.openxmlformats.org/officeDocument/2006/relationships/hyperlink" Target="pplx://action/claim?id=46" TargetMode="External"/><Relationship Id="rId79" Type="http://schemas.openxmlformats.org/officeDocument/2006/relationships/hyperlink" Target="pplx://action/claim?id=23" TargetMode="External"/><Relationship Id="rId80" Type="http://schemas.openxmlformats.org/officeDocument/2006/relationships/hyperlink" Target="pplx://action/claim?id=23" TargetMode="External"/><Relationship Id="rId81" Type="http://schemas.openxmlformats.org/officeDocument/2006/relationships/hyperlink" Target="pplx://action/claim?id=54" TargetMode="External"/><Relationship Id="rId82" Type="http://schemas.openxmlformats.org/officeDocument/2006/relationships/hyperlink" Target="pplx://action/claim?id=55" TargetMode="External"/><Relationship Id="rId83" Type="http://schemas.openxmlformats.org/officeDocument/2006/relationships/hyperlink" Target="pplx://action/claim?id=56" TargetMode="External"/><Relationship Id="rId84" Type="http://schemas.openxmlformats.org/officeDocument/2006/relationships/hyperlink" Target="pplx://action/claim?id=57" TargetMode="External"/><Relationship Id="rId85" Type="http://schemas.openxmlformats.org/officeDocument/2006/relationships/hyperlink" Target="pplx://action/claim?id=58" TargetMode="External"/><Relationship Id="rId86" Type="http://schemas.openxmlformats.org/officeDocument/2006/relationships/hyperlink" Target="pplx://action/claim?id=59" TargetMode="External"/><Relationship Id="rId87" Type="http://schemas.openxmlformats.org/officeDocument/2006/relationships/hyperlink" Target="pplx://action/claim?id=60" TargetMode="External"/><Relationship Id="rId88" Type="http://schemas.openxmlformats.org/officeDocument/2006/relationships/hyperlink" Target="pplx://action/claim?id=61" TargetMode="External"/><Relationship Id="rId89" Type="http://schemas.openxmlformats.org/officeDocument/2006/relationships/hyperlink" Target="pplx://action/claim?id=62" TargetMode="External"/><Relationship Id="rId90" Type="http://schemas.openxmlformats.org/officeDocument/2006/relationships/hyperlink" Target="pplx://action/claim?id=63" TargetMode="External"/><Relationship Id="rId91" Type="http://schemas.openxmlformats.org/officeDocument/2006/relationships/hyperlink" Target="pplx://action/claim?id=64" TargetMode="External"/><Relationship Id="rId92" Type="http://schemas.openxmlformats.org/officeDocument/2006/relationships/hyperlink" Target="pplx://action/claim?id=65" TargetMode="External"/><Relationship Id="rId93" Type="http://schemas.openxmlformats.org/officeDocument/2006/relationships/hyperlink" Target="pplx://action/claim?id=66" TargetMode="External"/><Relationship Id="rId94" Type="http://schemas.openxmlformats.org/officeDocument/2006/relationships/hyperlink" Target="pplx://action/claim?id=67" TargetMode="External"/><Relationship Id="rId95" Type="http://schemas.openxmlformats.org/officeDocument/2006/relationships/hyperlink" Target="pplx://action/claim?id=68" TargetMode="External"/><Relationship Id="rId96" Type="http://schemas.openxmlformats.org/officeDocument/2006/relationships/hyperlink" Target="pplx://action/claim?id=69" TargetMode="External"/><Relationship Id="rId97" Type="http://schemas.openxmlformats.org/officeDocument/2006/relationships/hyperlink" Target="pplx://action/claim?id=70" TargetMode="External"/><Relationship Id="rId98" Type="http://schemas.openxmlformats.org/officeDocument/2006/relationships/hyperlink" Target="pplx://action/claim?id=71" TargetMode="External"/><Relationship Id="rId99" Type="http://schemas.openxmlformats.org/officeDocument/2006/relationships/hyperlink" Target="pplx://action/claim?id=72" TargetMode="External"/><Relationship Id="rId100" Type="http://schemas.openxmlformats.org/officeDocument/2006/relationships/hyperlink" Target="pplx://action/claim?id=73" TargetMode="External"/><Relationship Id="rId101" Type="http://schemas.openxmlformats.org/officeDocument/2006/relationships/hyperlink" Target="pplx://action/claim?id=74" TargetMode="External"/><Relationship Id="rId102" Type="http://schemas.openxmlformats.org/officeDocument/2006/relationships/hyperlink" Target="pplx://action/claim?id=75" TargetMode="External"/><Relationship Id="rId103" Type="http://schemas.openxmlformats.org/officeDocument/2006/relationships/hyperlink" Target="pplx://action/claim?id=76" TargetMode="External"/><Relationship Id="rId104" Type="http://schemas.openxmlformats.org/officeDocument/2006/relationships/hyperlink" Target="pplx://action/claim?id=77" TargetMode="External"/><Relationship Id="rId105" Type="http://schemas.openxmlformats.org/officeDocument/2006/relationships/hyperlink" Target="pplx://action/claim?id=78" TargetMode="External"/><Relationship Id="rId106" Type="http://schemas.openxmlformats.org/officeDocument/2006/relationships/hyperlink" Target="pplx://action/claim?id=79" TargetMode="External"/><Relationship Id="rId107" Type="http://schemas.openxmlformats.org/officeDocument/2006/relationships/hyperlink" Target="pplx://action/claim?id=80" TargetMode="External"/><Relationship Id="rId108" Type="http://schemas.openxmlformats.org/officeDocument/2006/relationships/hyperlink" Target="pplx://action/claim?id=81" TargetMode="External"/><Relationship Id="rId109" Type="http://schemas.openxmlformats.org/officeDocument/2006/relationships/hyperlink" Target="pplx://action/claim?id=82" TargetMode="External"/><Relationship Id="rId110" Type="http://schemas.openxmlformats.org/officeDocument/2006/relationships/hyperlink" Target="pplx://action/claim?id=83" TargetMode="External"/><Relationship Id="rId111" Type="http://schemas.openxmlformats.org/officeDocument/2006/relationships/hyperlink" Target="pplx://action/claim?id=84" TargetMode="External"/><Relationship Id="rId112" Type="http://schemas.openxmlformats.org/officeDocument/2006/relationships/hyperlink" Target="pplx://action/claim?id=85" TargetMode="External"/><Relationship Id="rId113" Type="http://schemas.openxmlformats.org/officeDocument/2006/relationships/hyperlink" Target="pplx://action/claim?id=86" TargetMode="External"/><Relationship Id="rId114" Type="http://schemas.openxmlformats.org/officeDocument/2006/relationships/hyperlink" Target="pplx://action/claim?id=87" TargetMode="External"/><Relationship Id="rId115" Type="http://schemas.openxmlformats.org/officeDocument/2006/relationships/hyperlink" Target="pplx://action/claim?id=88" TargetMode="External"/><Relationship Id="rId116" Type="http://schemas.openxmlformats.org/officeDocument/2006/relationships/hyperlink" Target="pplx://action/claim?id=77" TargetMode="External"/><Relationship Id="rId117" Type="http://schemas.openxmlformats.org/officeDocument/2006/relationships/hyperlink" Target="pplx://action/claim?id=80" TargetMode="External"/><Relationship Id="rId118" Type="http://schemas.openxmlformats.org/officeDocument/2006/relationships/hyperlink" Target="pplx://action/claim?id=89" TargetMode="External"/><Relationship Id="rId119" Type="http://schemas.openxmlformats.org/officeDocument/2006/relationships/hyperlink" Target="pplx://action/claim?id=90" TargetMode="External"/><Relationship Id="rId120" Type="http://schemas.openxmlformats.org/officeDocument/2006/relationships/hyperlink" Target="pplx://action/claim?id=91" TargetMode="External"/><Relationship Id="rId121" Type="http://schemas.openxmlformats.org/officeDocument/2006/relationships/hyperlink" Target="pplx://action/claim?id=92" TargetMode="External"/><Relationship Id="rId122" Type="http://schemas.openxmlformats.org/officeDocument/2006/relationships/hyperlink" Target="pplx://action/claim?id=93" TargetMode="External"/><Relationship Id="rId123" Type="http://schemas.openxmlformats.org/officeDocument/2006/relationships/hyperlink" Target="pplx://action/claim?id=94" TargetMode="External"/><Relationship Id="rId124" Type="http://schemas.openxmlformats.org/officeDocument/2006/relationships/hyperlink" Target="pplx://action/claim?id=95" TargetMode="External"/><Relationship Id="rId125" Type="http://schemas.openxmlformats.org/officeDocument/2006/relationships/hyperlink" Target="pplx://action/claim?id=96" TargetMode="External"/><Relationship Id="rId126" Type="http://schemas.openxmlformats.org/officeDocument/2006/relationships/hyperlink" Target="pplx://action/claim?id=97" TargetMode="External"/><Relationship Id="rId127" Type="http://schemas.openxmlformats.org/officeDocument/2006/relationships/hyperlink" Target="pplx://action/claim?id=98" TargetMode="External"/><Relationship Id="rId128" Type="http://schemas.openxmlformats.org/officeDocument/2006/relationships/hyperlink" Target="pplx://action/claim?id=99" TargetMode="External"/><Relationship Id="rId129" Type="http://schemas.openxmlformats.org/officeDocument/2006/relationships/hyperlink" Target="pplx://action/claim?id=100" TargetMode="External"/><Relationship Id="rId130" Type="http://schemas.openxmlformats.org/officeDocument/2006/relationships/hyperlink" Target="pplx://action/claim?id=4" TargetMode="External"/><Relationship Id="rId131" Type="http://schemas.openxmlformats.org/officeDocument/2006/relationships/hyperlink" Target="pplx://action/claim?id=5" TargetMode="External"/><Relationship Id="rId132" Type="http://schemas.openxmlformats.org/officeDocument/2006/relationships/hyperlink" Target="pplx://action/claim?id=101" TargetMode="External"/><Relationship Id="rId133" Type="http://schemas.openxmlformats.org/officeDocument/2006/relationships/hyperlink" Target="pplx://action/claim?id=102" TargetMode="External"/><Relationship Id="rId134" Type="http://schemas.openxmlformats.org/officeDocument/2006/relationships/hyperlink" Target="pplx://action/claim?id=103" TargetMode="External"/><Relationship Id="rId135" Type="http://schemas.openxmlformats.org/officeDocument/2006/relationships/hyperlink" Target="pplx://action/claim?id=104" TargetMode="External"/><Relationship Id="rId136" Type="http://schemas.openxmlformats.org/officeDocument/2006/relationships/hyperlink" Target="pplx://action/claim?id=105" TargetMode="External"/><Relationship Id="rId137" Type="http://schemas.openxmlformats.org/officeDocument/2006/relationships/hyperlink" Target="pplx://action/claim?id=106" TargetMode="External"/><Relationship Id="rId138" Type="http://schemas.openxmlformats.org/officeDocument/2006/relationships/hyperlink" Target="pplx://action/claim?id=107" TargetMode="External"/><Relationship Id="rId139" Type="http://schemas.openxmlformats.org/officeDocument/2006/relationships/hyperlink" Target="pplx://action/claim?id=108" TargetMode="External"/><Relationship Id="rId140" Type="http://schemas.openxmlformats.org/officeDocument/2006/relationships/hyperlink" Target="pplx://action/claim?id=5" TargetMode="External"/><Relationship Id="rId141" Type="http://schemas.openxmlformats.org/officeDocument/2006/relationships/hyperlink" Target="pplx://action/claim?id=104" TargetMode="External"/><Relationship Id="rId142" Type="http://schemas.openxmlformats.org/officeDocument/2006/relationships/hyperlink" Target="pplx://action/claim?id=51" TargetMode="External"/><Relationship Id="rId143" Type="http://schemas.openxmlformats.org/officeDocument/2006/relationships/hyperlink" Target="pplx://action/claim?id=109" TargetMode="External"/><Relationship Id="rId144" Type="http://schemas.openxmlformats.org/officeDocument/2006/relationships/hyperlink" Target="pplx://action/claim?id=110" TargetMode="External"/><Relationship Id="rId145" Type="http://schemas.openxmlformats.org/officeDocument/2006/relationships/hyperlink" Target="pplx://action/claim?id=111" TargetMode="External"/><Relationship Id="rId146" Type="http://schemas.openxmlformats.org/officeDocument/2006/relationships/hyperlink" Target="pplx://action/claim?id=112" TargetMode="External"/><Relationship Id="rId147" Type="http://schemas.openxmlformats.org/officeDocument/2006/relationships/hyperlink" Target="pplx://action/claim?id=113" TargetMode="External"/><Relationship Id="rId148" Type="http://schemas.openxmlformats.org/officeDocument/2006/relationships/hyperlink" Target="pplx://action/claim?id=114" TargetMode="External"/><Relationship Id="rId149" Type="http://schemas.openxmlformats.org/officeDocument/2006/relationships/hyperlink" Target="pplx://action/claim?id=23" TargetMode="External"/><Relationship Id="rId150" Type="http://schemas.openxmlformats.org/officeDocument/2006/relationships/hyperlink" Target="pplx://action/claim?id=51" TargetMode="External"/><Relationship Id="rId151" Type="http://schemas.openxmlformats.org/officeDocument/2006/relationships/hyperlink" Target="pplx://action/claim?id=4" TargetMode="External"/><Relationship Id="rId152" Type="http://schemas.openxmlformats.org/officeDocument/2006/relationships/hyperlink" Target="pplx://action/claim?id=49" TargetMode="External"/><Relationship Id="rId153" Type="http://schemas.openxmlformats.org/officeDocument/2006/relationships/hyperlink" Target="https://www.alpha-sense.com/earnings/blk/" TargetMode="External"/><Relationship Id="rId154" Type="http://schemas.openxmlformats.org/officeDocument/2006/relationships/hyperlink" Target="https://www.ainvest.com/news/blackrock-record-14-04-trillion-aum-reshaping-fee-based-revenue-asset-management-2601/" TargetMode="External"/><Relationship Id="rId155" Type="http://schemas.openxmlformats.org/officeDocument/2006/relationships/hyperlink" Target="https://finsee.ai/earnings/blk/2025/q4/en/" TargetMode="External"/><Relationship Id="rId156" Type="http://schemas.openxmlformats.org/officeDocument/2006/relationships/hyperlink" Target="https://www.wsj.com/finance/investing/blackrock-blk-q4-earnings-report-2025-680667b6" TargetMode="External"/><Relationship Id="rId157" Type="http://schemas.openxmlformats.org/officeDocument/2006/relationships/hyperlink" Target="https://tickernerd.com/stock/blk-forecast/" TargetMode="External"/><Relationship Id="rId158" Type="http://schemas.openxmlformats.org/officeDocument/2006/relationships/hyperlink" Target="https://www.marketbeat.com/instant-alerts/blackrock-nyseblk-given-average-rating-of-moderate-buy-by-analysts-2026-03-15/" TargetMode="External"/><Relationship Id="rId159" Type="http://schemas.openxmlformats.org/officeDocument/2006/relationships/hyperlink" Target="https://finance.yahoo.com/news/blackrock-beats-fourth-quarter-expectations-114046397.html" TargetMode="External"/><Relationship Id="rId160" Type="http://schemas.openxmlformats.org/officeDocument/2006/relationships/hyperlink" Target="https://theduke.fm/2026/01/15/blackrocks-assets-hit-record-14-trillion-on-fourth-quarter-markets-rally/" TargetMode="External"/><Relationship Id="rId161" Type="http://schemas.openxmlformats.org/officeDocument/2006/relationships/hyperlink" Target="https://finviz.com/news/332507/is-blackrock-inc-blk-one-of-the-stocks-that-could-skyrocket-in-2026" TargetMode="External"/><Relationship Id="rId162" Type="http://schemas.openxmlformats.org/officeDocument/2006/relationships/hyperlink" Target="https://www.sec.gov/Archives/edgar/data/2012383/000095017025026584/blk-20241231.htm" TargetMode="External"/><Relationship Id="rId163" Type="http://schemas.openxmlformats.org/officeDocument/2006/relationships/hyperlink" Target="https://www.sec.gov/Archives/edgar/data/2012383/000119312526071966/blk-20251231.htm" TargetMode="External"/><Relationship Id="rId164" Type="http://schemas.openxmlformats.org/officeDocument/2006/relationships/hyperlink" Target="https://www.stocktitan.net/sec-filings/BLK/10-k-black-rock-inc-files-annual-report-d280a370171b.html" TargetMode="External"/><Relationship Id="rId165" Type="http://schemas.openxmlformats.org/officeDocument/2006/relationships/hyperlink" Target="https://alternativecreditinvestor.com/2025/01/15/blackrock-saw-record-641bn-inflows-in-2024/" TargetMode="External"/><Relationship Id="rId166" Type="http://schemas.openxmlformats.org/officeDocument/2006/relationships/hyperlink" Target="https://www.blackrock.com/corporate/newsroom/press-releases/article/corporate-one/press-releases/blackrock-reports-fourth-quarter-2025" TargetMode="External"/><Relationship Id="rId167" Type="http://schemas.openxmlformats.org/officeDocument/2006/relationships/hyperlink" Target="https://www.linkedin.com/pulse/blackrocks-3q-2025-earnings-record-aum-resilient-growth-faisal-amjad-ulrpf" TargetMode="External"/><Relationship Id="rId168" Type="http://schemas.openxmlformats.org/officeDocument/2006/relationships/hyperlink" Target="https://www.reuters.com/business/blackrock-fourth-quarter-profit-rises-etf-inflows-index-fund-demand-2026-01-15/" TargetMode="External"/><Relationship Id="rId169" Type="http://schemas.openxmlformats.org/officeDocument/2006/relationships/hyperlink" Target="https://za.investing.com/news/company-news/blackrock-q4-2025-slides-aum-hits-14-trillion-operating-margin-expands-to-45-93CH-4064821" TargetMode="External"/><Relationship Id="rId170" Type="http://schemas.openxmlformats.org/officeDocument/2006/relationships/hyperlink" Target="https://ir.blackrock.com/news-and-events/press-releases/press-releases-details/2024/BlackRock-Completes-Acquisition-of-Global-Infrastructure-Partners/default.aspx" TargetMode="External"/><Relationship Id="rId171" Type="http://schemas.openxmlformats.org/officeDocument/2006/relationships/hyperlink" Target="https://www.reuters.com/business/finance/blackrock-strikes-12-bln-deal-private-credit-firm-hps-investment-2024-12-03/" TargetMode="External"/><Relationship Id="rId172" Type="http://schemas.openxmlformats.org/officeDocument/2006/relationships/hyperlink" Target="https://www.ai-cio.com/news/blackrocks-purchase-of-gip-deepens-its-alts-exposure/" TargetMode="External"/><Relationship Id="rId173" Type="http://schemas.openxmlformats.org/officeDocument/2006/relationships/hyperlink" Target="https://www.sec.gov/Archives/edgar/data/2012383/000119312525237960/blk-ex99_2.htm" TargetMode="External"/><Relationship Id="rId174" Type="http://schemas.openxmlformats.org/officeDocument/2006/relationships/hyperlink" Target="https://www.sec.gov/Archives/edgar/data/2012383/000095017025095711/blk-ex99_2.htm" TargetMode="External"/><Relationship Id="rId175" Type="http://schemas.openxmlformats.org/officeDocument/2006/relationships/hyperlink" Target="https://portersfiveforce.com/blogs/growth-strategy/blackrock" TargetMode="External"/><Relationship Id="rId176" Type="http://schemas.openxmlformats.org/officeDocument/2006/relationships/hyperlink" Target="https://www.global-infra.com/news/blackrock-completes-acquisition-of-global-infrastructure-partners/" TargetMode="External"/><Relationship Id="rId177" Type="http://schemas.openxmlformats.org/officeDocument/2006/relationships/hyperlink" Target="https://www.investopedia.com/blackrock-acquires-private-credit-manager-hps-8754289" TargetMode="External"/><Relationship Id="rId178" Type="http://schemas.openxmlformats.org/officeDocument/2006/relationships/hyperlink" Target="https://ir.blackrock.com/news-and-events/press-releases/press-releases-details/2024/BlackRock-to-Acquire-HPS-Investment-Partners-to-Deliver-Integrated-Solutions-Across-Public-and-Private-Markets/default.aspx" TargetMode="External"/><Relationship Id="rId179" Type="http://schemas.openxmlformats.org/officeDocument/2006/relationships/hyperlink" Target="https://www.preqin.com/about/press-release/blackrock-to-acquire-preqin-leading-private-markets-data-solutions-provider" TargetMode="External"/><Relationship Id="rId180" Type="http://schemas.openxmlformats.org/officeDocument/2006/relationships/hyperlink" Target="https://www.blackrock.com/aladdin/discover/blackrock-to-acquire-preqin" TargetMode="External"/><Relationship Id="rId181" Type="http://schemas.openxmlformats.org/officeDocument/2006/relationships/hyperlink" Target="https://www.alphaspread.com/security/nyse/blk/discount-rate" TargetMode="External"/><Relationship Id="rId182" Type="http://schemas.openxmlformats.org/officeDocument/2006/relationships/hyperlink" Target="https://www.gurufocus.com/term/wacc/BLK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2026-04-04T01:21:46.271Z</dcterms:created>
  <dcterms:modified xsi:type="dcterms:W3CDTF">2026-04-04T01:21:46.271Z</dcterms:modified>
</cp:coreProperties>
</file>