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lackrock_blk_financial_profile_f_81d797"/>
      <w:r>
        <w:rPr>
          <w:rFonts w:eastAsia="Georgia" w:cs="Georgia" w:ascii="Georgia" w:hAnsi="Georgia"/>
          <w:b/>
          <w:sz w:val="56"/>
        </w:rPr>
        <w:t xml:space="preserve">BlackRock (BLK) — Financial Profile FY2022–FY2025</w:t>
      </w:r>
      <w:bookmarkEnd w:id="0"/>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BlackRock, Inc. (NYSE: BLK) has compounded its position as the world's largest asset manager through four distinct fiscal years, navigating a sharp market downturn in 2022, a recovery year in 2023, and two consecutive record-setting years in 2024–2025. AUM surged from $8.59 trillion at year-end 2022 to a historic $14.04 trillion at year-end 2025, an aggregate gain of 63.4% over the period. Full-year revenue reached </w:t>
      </w:r>
      <w:hyperlink r:id="rId5">
        <w:r>
          <w:rPr>
            <w:color w:val="4472C4"/>
          </w:rPr>
          <w:t xml:space="preserve">$24.22 billion</w:t>
        </w:r>
      </w:hyperlink>
      <w:r>
        <w:rPr/>
        <w:t xml:space="preserve"> in FY2025, up 18.7% year-over-year, while adjusted EPS of </w:t>
      </w:r>
      <w:hyperlink r:id="rId6">
        <w:r>
          <w:rPr>
            <w:color w:val="4472C4"/>
          </w:rPr>
          <w:t xml:space="preserve">$48.09</w:t>
        </w:r>
      </w:hyperlink>
      <w:r>
        <w:rPr>
          <w:rFonts w:eastAsia="Georgia" w:cs="Georgia" w:ascii="Georgia" w:hAnsi="Georgia"/>
        </w:rPr>
        <w:t xml:space="preserve"> set a new high and beat consensus by $0.74. The organic growth engine — anchored by iShares ETFs, fixed-income mandates, and a growing private markets platform — has consistently outpaced the firm's own 3%–5% annual organic AUM growth target.[1][2][3][4][5]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fy2022_fy2025_key_financial_metrics"/>
      <w:r>
        <w:rPr>
          <w:rFonts w:eastAsia="Georgia" w:cs="Georgia" w:ascii="Georgia" w:hAnsi="Georgia"/>
          <w:b/>
          <w:sz w:val="42"/>
        </w:rPr>
        <w:t xml:space="preserve">FY2022–FY2025 Key Financial Metrics</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FY2022</w:t>
            </w:r>
          </w:p>
        </w:tc>
        <w:tc>
          <w:tcPr>
            <w:tcBorders>
              <w:top w:val="single" w:sz="1" w:space="0" w:color="000000"/>
              <w:left w:val="single" w:sz="1" w:space="0" w:color="000000"/>
              <w:bottom w:val="single" w:sz="1" w:space="0" w:color="000000"/>
            </w:tcBorders>
          </w:tcPr>
          <w:p>
            <w:pPr>
              <w:spacing w:lineRule="auto"/>
            </w:pPr>
            <w:r>
              <w:rPr/>
              <w:t xml:space="preserve">FY2023</w:t>
            </w:r>
          </w:p>
        </w:tc>
        <w:tc>
          <w:tcPr>
            <w:tcBorders>
              <w:top w:val="single" w:sz="1" w:space="0" w:color="000000"/>
              <w:left w:val="single" w:sz="1" w:space="0" w:color="000000"/>
              <w:bottom w:val="single" w:sz="1" w:space="0" w:color="000000"/>
            </w:tcBorders>
          </w:tcPr>
          <w:p>
            <w:pPr>
              <w:spacing w:lineRule="auto"/>
            </w:pPr>
            <w:r>
              <w:rPr/>
              <w:t xml:space="preserve">FY2024</w:t>
            </w:r>
          </w:p>
        </w:tc>
        <w:tc>
          <w:tcPr>
            <w:tcBorders>
              <w:top w:val="single" w:sz="1" w:space="0" w:color="000000"/>
              <w:left w:val="single" w:sz="1" w:space="0" w:color="000000"/>
              <w:bottom w:val="single" w:sz="1" w:space="0" w:color="000000"/>
            </w:tcBorders>
          </w:tcPr>
          <w:p>
            <w:pPr>
              <w:spacing w:lineRule="auto"/>
            </w:pPr>
            <w:r>
              <w:rPr/>
              <w:t xml:space="preserve">FY2025</w:t>
            </w:r>
          </w:p>
        </w:tc>
      </w:tr>
      <w:tr>
        <w:trPr>
          <w:cantSplit/>
        </w:trPr>
        <w:tc>
          <w:tcPr>
            <w:tcBorders>
              <w:top w:val="single" w:sz="1" w:space="0" w:color="000000"/>
              <w:bottom w:val="single" w:sz="1" w:space="0" w:color="000000"/>
            </w:tcBorders>
          </w:tcPr>
          <w:p>
            <w:pPr>
              <w:spacing w:lineRule="auto"/>
            </w:pPr>
            <w:r>
              <w:rPr>
                <w:b/>
              </w:rPr>
              <w:t xml:space="preserve">Ending AUM</w:t>
            </w:r>
          </w:p>
        </w:tc>
        <w:tc>
          <w:tcPr>
            <w:tcBorders>
              <w:top w:val="single" w:sz="1" w:space="0" w:color="000000"/>
              <w:left w:val="single" w:sz="1" w:space="0" w:color="000000"/>
              <w:bottom w:val="single" w:sz="1" w:space="0" w:color="000000"/>
            </w:tcBorders>
          </w:tcPr>
          <w:p>
            <w:pPr>
              <w:spacing w:lineRule="auto"/>
            </w:pPr>
            <w:r>
              <w:rPr/>
              <w:t xml:space="preserve">$8.59T[4]</w:t>
            </w:r>
          </w:p>
        </w:tc>
        <w:tc>
          <w:tcPr>
            <w:tcBorders>
              <w:top w:val="single" w:sz="1" w:space="0" w:color="000000"/>
              <w:left w:val="single" w:sz="1" w:space="0" w:color="000000"/>
              <w:bottom w:val="single" w:sz="1" w:space="0" w:color="000000"/>
            </w:tcBorders>
          </w:tcPr>
          <w:p>
            <w:pPr>
              <w:spacing w:lineRule="auto"/>
            </w:pPr>
            <w:r>
              <w:rPr/>
              <w:t xml:space="preserve">$10.01T[6][7]</w:t>
            </w:r>
          </w:p>
        </w:tc>
        <w:tc>
          <w:tcPr>
            <w:tcBorders>
              <w:top w:val="single" w:sz="1" w:space="0" w:color="000000"/>
              <w:left w:val="single" w:sz="1" w:space="0" w:color="000000"/>
              <w:bottom w:val="single" w:sz="1" w:space="0" w:color="000000"/>
            </w:tcBorders>
          </w:tcPr>
          <w:p>
            <w:pPr>
              <w:spacing w:lineRule="auto"/>
            </w:pPr>
            <w:r>
              <w:rPr/>
              <w:t xml:space="preserve">$11.55T[8][9]</w:t>
            </w:r>
          </w:p>
        </w:tc>
        <w:tc>
          <w:tcPr>
            <w:tcBorders>
              <w:top w:val="single" w:sz="1" w:space="0" w:color="000000"/>
              <w:left w:val="single" w:sz="1" w:space="0" w:color="000000"/>
              <w:bottom w:val="single" w:sz="1" w:space="0" w:color="000000"/>
            </w:tcBorders>
          </w:tcPr>
          <w:p>
            <w:pPr>
              <w:spacing w:lineRule="auto"/>
            </w:pPr>
            <w:r>
              <w:rPr/>
              <w:t xml:space="preserve">$14.04T[10][5]</w:t>
            </w:r>
          </w:p>
        </w:tc>
      </w:tr>
      <w:tr>
        <w:trPr>
          <w:cantSplit/>
        </w:trPr>
        <w:tc>
          <w:tcPr>
            <w:tcBorders>
              <w:top w:val="single" w:sz="1" w:space="0" w:color="000000"/>
              <w:bottom w:val="single" w:sz="1" w:space="0" w:color="000000"/>
            </w:tcBorders>
          </w:tcPr>
          <w:p>
            <w:pPr>
              <w:spacing w:lineRule="auto"/>
            </w:pPr>
            <w:r>
              <w:rPr>
                <w:b/>
              </w:rPr>
              <w:t xml:space="preserve">Total Revenue</w:t>
            </w:r>
          </w:p>
        </w:tc>
        <w:tc>
          <w:tcPr>
            <w:tcBorders>
              <w:top w:val="single" w:sz="1" w:space="0" w:color="000000"/>
              <w:left w:val="single" w:sz="1" w:space="0" w:color="000000"/>
              <w:bottom w:val="single" w:sz="1" w:space="0" w:color="000000"/>
            </w:tcBorders>
          </w:tcPr>
          <w:p>
            <w:pPr>
              <w:spacing w:lineRule="auto"/>
            </w:pPr>
            <w:hyperlink r:id="rId7">
              <w:r>
                <w:rPr>
                  <w:color w:val="4472C4"/>
                </w:rPr>
                <w:t xml:space="preserve">$17.87B</w:t>
              </w:r>
            </w:hyperlink>
          </w:p>
        </w:tc>
        <w:tc>
          <w:tcPr>
            <w:tcBorders>
              <w:top w:val="single" w:sz="1" w:space="0" w:color="000000"/>
              <w:left w:val="single" w:sz="1" w:space="0" w:color="000000"/>
              <w:bottom w:val="single" w:sz="1" w:space="0" w:color="000000"/>
            </w:tcBorders>
          </w:tcPr>
          <w:p>
            <w:pPr>
              <w:spacing w:lineRule="auto"/>
            </w:pPr>
            <w:hyperlink r:id="rId8">
              <w:r>
                <w:rPr>
                  <w:color w:val="4472C4"/>
                </w:rPr>
                <w:t xml:space="preserve">$17.86B</w:t>
              </w:r>
            </w:hyperlink>
          </w:p>
        </w:tc>
        <w:tc>
          <w:tcPr>
            <w:tcBorders>
              <w:top w:val="single" w:sz="1" w:space="0" w:color="000000"/>
              <w:left w:val="single" w:sz="1" w:space="0" w:color="000000"/>
              <w:bottom w:val="single" w:sz="1" w:space="0" w:color="000000"/>
            </w:tcBorders>
          </w:tcPr>
          <w:p>
            <w:pPr>
              <w:spacing w:lineRule="auto"/>
            </w:pPr>
            <w:hyperlink r:id="rId9">
              <w:r>
                <w:rPr>
                  <w:color w:val="4472C4"/>
                </w:rPr>
                <w:t xml:space="preserve">$20.41B</w:t>
              </w:r>
            </w:hyperlink>
          </w:p>
        </w:tc>
        <w:tc>
          <w:tcPr>
            <w:tcBorders>
              <w:top w:val="single" w:sz="1" w:space="0" w:color="000000"/>
              <w:left w:val="single" w:sz="1" w:space="0" w:color="000000"/>
              <w:bottom w:val="single" w:sz="1" w:space="0" w:color="000000"/>
            </w:tcBorders>
          </w:tcPr>
          <w:p>
            <w:pPr>
              <w:spacing w:lineRule="auto"/>
            </w:pPr>
            <w:hyperlink r:id="rId10">
              <w:r>
                <w:rPr>
                  <w:color w:val="4472C4"/>
                </w:rPr>
                <w:t xml:space="preserve">$24.22B</w:t>
              </w:r>
            </w:hyperlink>
          </w:p>
        </w:tc>
      </w:tr>
      <w:tr>
        <w:trPr>
          <w:cantSplit/>
        </w:trPr>
        <w:tc>
          <w:tcPr>
            <w:tcBorders>
              <w:top w:val="single" w:sz="1" w:space="0" w:color="000000"/>
              <w:bottom w:val="single" w:sz="1" w:space="0" w:color="000000"/>
            </w:tcBorders>
          </w:tcPr>
          <w:p>
            <w:pPr>
              <w:spacing w:lineRule="auto"/>
            </w:pPr>
            <w:r>
              <w:rPr>
                <w:b/>
              </w:rPr>
              <w:t xml:space="preserve">Revenue YoY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(0.1%)</w:t>
            </w:r>
          </w:p>
        </w:tc>
        <w:tc>
          <w:tcPr>
            <w:tcBorders>
              <w:top w:val="single" w:sz="1" w:space="0" w:color="000000"/>
              <w:left w:val="single" w:sz="1" w:space="0" w:color="000000"/>
              <w:bottom w:val="single" w:sz="1" w:space="0" w:color="000000"/>
            </w:tcBorders>
          </w:tcPr>
          <w:p>
            <w:pPr>
              <w:spacing w:lineRule="auto"/>
            </w:pPr>
            <w:r>
              <w:rPr/>
              <w:t xml:space="preserve">+14.3%</w:t>
            </w:r>
          </w:p>
        </w:tc>
        <w:tc>
          <w:tcPr>
            <w:tcBorders>
              <w:top w:val="single" w:sz="1" w:space="0" w:color="000000"/>
              <w:left w:val="single" w:sz="1" w:space="0" w:color="000000"/>
              <w:bottom w:val="single" w:sz="1" w:space="0" w:color="000000"/>
            </w:tcBorders>
          </w:tcPr>
          <w:p>
            <w:pPr>
              <w:spacing w:lineRule="auto"/>
            </w:pPr>
            <w:r>
              <w:rPr/>
              <w:t xml:space="preserve">+18.7%[2]</w:t>
            </w:r>
          </w:p>
        </w:tc>
      </w:tr>
      <w:tr>
        <w:trPr>
          <w:cantSplit/>
        </w:trPr>
        <w:tc>
          <w:tcPr>
            <w:tcBorders>
              <w:top w:val="single" w:sz="1" w:space="0" w:color="000000"/>
              <w:bottom w:val="single" w:sz="1" w:space="0" w:color="000000"/>
            </w:tcBorders>
          </w:tcPr>
          <w:p>
            <w:pPr>
              <w:spacing w:lineRule="auto"/>
            </w:pPr>
            <w:r>
              <w:rPr>
                <w:b/>
              </w:rPr>
              <w:t xml:space="preserve">GAAP Operating Income</w:t>
            </w:r>
          </w:p>
        </w:tc>
        <w:tc>
          <w:tcPr>
            <w:tcBorders>
              <w:top w:val="single" w:sz="1" w:space="0" w:color="000000"/>
              <w:left w:val="single" w:sz="1" w:space="0" w:color="000000"/>
              <w:bottom w:val="single" w:sz="1" w:space="0" w:color="000000"/>
            </w:tcBorders>
          </w:tcPr>
          <w:p>
            <w:pPr>
              <w:spacing w:lineRule="auto"/>
            </w:pPr>
            <w:hyperlink r:id="rId11">
              <w:r>
                <w:rPr>
                  <w:color w:val="4472C4"/>
                </w:rPr>
                <w:t xml:space="preserve">$6.39B</w:t>
              </w:r>
            </w:hyperlink>
          </w:p>
        </w:tc>
        <w:tc>
          <w:tcPr>
            <w:tcBorders>
              <w:top w:val="single" w:sz="1" w:space="0" w:color="000000"/>
              <w:left w:val="single" w:sz="1" w:space="0" w:color="000000"/>
              <w:bottom w:val="single" w:sz="1" w:space="0" w:color="000000"/>
            </w:tcBorders>
          </w:tcPr>
          <w:p>
            <w:pPr>
              <w:spacing w:lineRule="auto"/>
            </w:pPr>
            <w:hyperlink r:id="rId12">
              <w:r>
                <w:rPr>
                  <w:color w:val="4472C4"/>
                </w:rPr>
                <w:t xml:space="preserve">$6.28B</w:t>
              </w:r>
            </w:hyperlink>
          </w:p>
        </w:tc>
        <w:tc>
          <w:tcPr>
            <w:tcBorders>
              <w:top w:val="single" w:sz="1" w:space="0" w:color="000000"/>
              <w:left w:val="single" w:sz="1" w:space="0" w:color="000000"/>
              <w:bottom w:val="single" w:sz="1" w:space="0" w:color="000000"/>
            </w:tcBorders>
          </w:tcPr>
          <w:p>
            <w:pPr>
              <w:spacing w:lineRule="auto"/>
            </w:pPr>
            <w:hyperlink r:id="rId13">
              <w:r>
                <w:rPr>
                  <w:color w:val="4472C4"/>
                </w:rPr>
                <w:t xml:space="preserve">$7.57B</w:t>
              </w:r>
            </w:hyperlink>
          </w:p>
        </w:tc>
        <w:tc>
          <w:tcPr>
            <w:tcBorders>
              <w:top w:val="single" w:sz="1" w:space="0" w:color="000000"/>
              <w:left w:val="single" w:sz="1" w:space="0" w:color="000000"/>
              <w:bottom w:val="single" w:sz="1" w:space="0" w:color="000000"/>
            </w:tcBorders>
          </w:tcPr>
          <w:p>
            <w:pPr>
              <w:spacing w:lineRule="auto"/>
            </w:pPr>
            <w:hyperlink r:id="rId14">
              <w:r>
                <w:rPr>
                  <w:color w:val="4472C4"/>
                </w:rPr>
                <w:t xml:space="preserve">$7.05B</w:t>
              </w:r>
            </w:hyperlink>
          </w:p>
        </w:tc>
      </w:tr>
      <w:tr>
        <w:trPr>
          <w:cantSplit/>
        </w:trPr>
        <w:tc>
          <w:tcPr>
            <w:tcBorders>
              <w:top w:val="single" w:sz="1" w:space="0" w:color="000000"/>
              <w:bottom w:val="single" w:sz="1" w:space="0" w:color="000000"/>
            </w:tcBorders>
          </w:tcPr>
          <w:p>
            <w:pPr>
              <w:spacing w:lineRule="auto"/>
            </w:pPr>
            <w:r>
              <w:rPr>
                <w:b/>
              </w:rPr>
              <w:t xml:space="preserve">GAAP Operating Margin</w:t>
            </w:r>
          </w:p>
        </w:tc>
        <w:tc>
          <w:tcPr>
            <w:tcBorders>
              <w:top w:val="single" w:sz="1" w:space="0" w:color="000000"/>
              <w:left w:val="single" w:sz="1" w:space="0" w:color="000000"/>
              <w:bottom w:val="single" w:sz="1" w:space="0" w:color="000000"/>
            </w:tcBorders>
          </w:tcPr>
          <w:p>
            <w:pPr>
              <w:spacing w:lineRule="auto"/>
            </w:pPr>
            <w:hyperlink r:id="rId15">
              <w:r>
                <w:rPr>
                  <w:color w:val="4472C4"/>
                </w:rPr>
                <w:t xml:space="preserve">35.7%</w:t>
              </w:r>
            </w:hyperlink>
          </w:p>
        </w:tc>
        <w:tc>
          <w:tcPr>
            <w:tcBorders>
              <w:top w:val="single" w:sz="1" w:space="0" w:color="000000"/>
              <w:left w:val="single" w:sz="1" w:space="0" w:color="000000"/>
              <w:bottom w:val="single" w:sz="1" w:space="0" w:color="000000"/>
            </w:tcBorders>
          </w:tcPr>
          <w:p>
            <w:pPr>
              <w:spacing w:lineRule="auto"/>
            </w:pPr>
            <w:hyperlink r:id="rId16">
              <w:r>
                <w:rPr>
                  <w:color w:val="4472C4"/>
                </w:rPr>
                <w:t xml:space="preserve">35.1%</w:t>
              </w:r>
            </w:hyperlink>
          </w:p>
        </w:tc>
        <w:tc>
          <w:tcPr>
            <w:tcBorders>
              <w:top w:val="single" w:sz="1" w:space="0" w:color="000000"/>
              <w:left w:val="single" w:sz="1" w:space="0" w:color="000000"/>
              <w:bottom w:val="single" w:sz="1" w:space="0" w:color="000000"/>
            </w:tcBorders>
          </w:tcPr>
          <w:p>
            <w:pPr>
              <w:spacing w:lineRule="auto"/>
            </w:pPr>
            <w:hyperlink r:id="rId17">
              <w:r>
                <w:rPr>
                  <w:color w:val="4472C4"/>
                </w:rPr>
                <w:t xml:space="preserve">37.1%</w:t>
              </w:r>
            </w:hyperlink>
          </w:p>
        </w:tc>
        <w:tc>
          <w:tcPr>
            <w:tcBorders>
              <w:top w:val="single" w:sz="1" w:space="0" w:color="000000"/>
              <w:left w:val="single" w:sz="1" w:space="0" w:color="000000"/>
              <w:bottom w:val="single" w:sz="1" w:space="0" w:color="000000"/>
            </w:tcBorders>
          </w:tcPr>
          <w:p>
            <w:pPr>
              <w:spacing w:lineRule="auto"/>
            </w:pPr>
            <w:hyperlink r:id="rId18">
              <w:r>
                <w:rPr>
                  <w:color w:val="4472C4"/>
                </w:rPr>
                <w:t xml:space="preserve">29.1%</w:t>
              </w:r>
            </w:hyperlink>
          </w:p>
        </w:tc>
      </w:tr>
      <w:tr>
        <w:trPr>
          <w:cantSplit/>
        </w:trPr>
        <w:tc>
          <w:tcPr>
            <w:tcBorders>
              <w:top w:val="single" w:sz="1" w:space="0" w:color="000000"/>
              <w:bottom w:val="single" w:sz="1" w:space="0" w:color="000000"/>
            </w:tcBorders>
          </w:tcPr>
          <w:p>
            <w:pPr>
              <w:spacing w:lineRule="auto"/>
            </w:pPr>
            <w:r>
              <w:rPr>
                <w:b/>
              </w:rPr>
              <w:t xml:space="preserve">Adj. EBIT (Operating Income)</w:t>
            </w:r>
          </w:p>
        </w:tc>
        <w:tc>
          <w:tcPr>
            <w:tcBorders>
              <w:top w:val="single" w:sz="1" w:space="0" w:color="000000"/>
              <w:left w:val="single" w:sz="1" w:space="0" w:color="000000"/>
              <w:bottom w:val="single" w:sz="1" w:space="0" w:color="000000"/>
            </w:tcBorders>
          </w:tcPr>
          <w:p>
            <w:pPr>
              <w:spacing w:lineRule="auto"/>
            </w:pPr>
            <w:hyperlink r:id="rId19">
              <w:r>
                <w:rPr>
                  <w:color w:val="4472C4"/>
                </w:rPr>
                <w:t xml:space="preserve">$6.71B</w:t>
              </w:r>
            </w:hyperlink>
          </w:p>
        </w:tc>
        <w:tc>
          <w:tcPr>
            <w:tcBorders>
              <w:top w:val="single" w:sz="1" w:space="0" w:color="000000"/>
              <w:left w:val="single" w:sz="1" w:space="0" w:color="000000"/>
              <w:bottom w:val="single" w:sz="1" w:space="0" w:color="000000"/>
            </w:tcBorders>
          </w:tcPr>
          <w:p>
            <w:pPr>
              <w:spacing w:lineRule="auto"/>
            </w:pPr>
            <w:hyperlink r:id="rId20">
              <w:r>
                <w:rPr>
                  <w:color w:val="4472C4"/>
                </w:rPr>
                <w:t xml:space="preserve">$6.59B</w:t>
              </w:r>
            </w:hyperlink>
          </w:p>
        </w:tc>
        <w:tc>
          <w:tcPr>
            <w:tcBorders>
              <w:top w:val="single" w:sz="1" w:space="0" w:color="000000"/>
              <w:left w:val="single" w:sz="1" w:space="0" w:color="000000"/>
              <w:bottom w:val="single" w:sz="1" w:space="0" w:color="000000"/>
            </w:tcBorders>
          </w:tcPr>
          <w:p>
            <w:pPr>
              <w:spacing w:lineRule="auto"/>
            </w:pPr>
            <w:hyperlink r:id="rId21">
              <w:r>
                <w:rPr>
                  <w:color w:val="4472C4"/>
                </w:rPr>
                <w:t xml:space="preserve">$8.11B</w:t>
              </w:r>
            </w:hyperlink>
          </w:p>
        </w:tc>
        <w:tc>
          <w:tcPr>
            <w:tcBorders>
              <w:top w:val="single" w:sz="1" w:space="0" w:color="000000"/>
              <w:left w:val="single" w:sz="1" w:space="0" w:color="000000"/>
              <w:bottom w:val="single" w:sz="1" w:space="0" w:color="000000"/>
            </w:tcBorders>
          </w:tcPr>
          <w:p>
            <w:pPr>
              <w:spacing w:lineRule="auto"/>
            </w:pPr>
            <w:hyperlink r:id="rId22">
              <w:r>
                <w:rPr>
                  <w:color w:val="4472C4"/>
                </w:rPr>
                <w:t xml:space="preserve">$9.60B</w:t>
              </w:r>
            </w:hyperlink>
          </w:p>
        </w:tc>
      </w:tr>
      <w:tr>
        <w:trPr>
          <w:cantSplit/>
        </w:trPr>
        <w:tc>
          <w:tcPr>
            <w:tcBorders>
              <w:top w:val="single" w:sz="1" w:space="0" w:color="000000"/>
              <w:bottom w:val="single" w:sz="1" w:space="0" w:color="000000"/>
            </w:tcBorders>
          </w:tcPr>
          <w:p>
            <w:pPr>
              <w:spacing w:lineRule="auto"/>
            </w:pPr>
            <w:r>
              <w:rPr>
                <w:b/>
              </w:rPr>
              <w:t xml:space="preserve">Adj. EBIT Margin</w:t>
            </w:r>
          </w:p>
        </w:tc>
        <w:tc>
          <w:tcPr>
            <w:tcBorders>
              <w:top w:val="single" w:sz="1" w:space="0" w:color="000000"/>
              <w:left w:val="single" w:sz="1" w:space="0" w:color="000000"/>
              <w:bottom w:val="single" w:sz="1" w:space="0" w:color="000000"/>
            </w:tcBorders>
          </w:tcPr>
          <w:p>
            <w:pPr>
              <w:spacing w:lineRule="auto"/>
            </w:pPr>
            <w:hyperlink r:id="rId23">
              <w:r>
                <w:rPr>
                  <w:color w:val="4472C4"/>
                </w:rPr>
                <w:t xml:space="preserve">42.8%</w:t>
              </w:r>
            </w:hyperlink>
          </w:p>
        </w:tc>
        <w:tc>
          <w:tcPr>
            <w:tcBorders>
              <w:top w:val="single" w:sz="1" w:space="0" w:color="000000"/>
              <w:left w:val="single" w:sz="1" w:space="0" w:color="000000"/>
              <w:bottom w:val="single" w:sz="1" w:space="0" w:color="000000"/>
            </w:tcBorders>
          </w:tcPr>
          <w:p>
            <w:pPr>
              <w:spacing w:lineRule="auto"/>
            </w:pPr>
            <w:hyperlink r:id="rId24">
              <w:r>
                <w:rPr>
                  <w:color w:val="4472C4"/>
                </w:rPr>
                <w:t xml:space="preserve">41.7%</w:t>
              </w:r>
            </w:hyperlink>
          </w:p>
        </w:tc>
        <w:tc>
          <w:tcPr>
            <w:tcBorders>
              <w:top w:val="single" w:sz="1" w:space="0" w:color="000000"/>
              <w:left w:val="single" w:sz="1" w:space="0" w:color="000000"/>
              <w:bottom w:val="single" w:sz="1" w:space="0" w:color="000000"/>
            </w:tcBorders>
          </w:tcPr>
          <w:p>
            <w:pPr>
              <w:spacing w:lineRule="auto"/>
            </w:pPr>
            <w:hyperlink r:id="rId25">
              <w:r>
                <w:rPr>
                  <w:color w:val="4472C4"/>
                </w:rPr>
                <w:t xml:space="preserve">44.5%</w:t>
              </w:r>
            </w:hyperlink>
          </w:p>
        </w:tc>
        <w:tc>
          <w:tcPr>
            <w:tcBorders>
              <w:top w:val="single" w:sz="1" w:space="0" w:color="000000"/>
              <w:left w:val="single" w:sz="1" w:space="0" w:color="000000"/>
              <w:bottom w:val="single" w:sz="1" w:space="0" w:color="000000"/>
            </w:tcBorders>
          </w:tcPr>
          <w:p>
            <w:pPr>
              <w:spacing w:lineRule="auto"/>
            </w:pPr>
            <w:hyperlink r:id="rId26">
              <w:r>
                <w:rPr>
                  <w:color w:val="4472C4"/>
                </w:rPr>
                <w:t xml:space="preserve">44.1%</w:t>
              </w:r>
            </w:hyperlink>
          </w:p>
        </w:tc>
      </w:tr>
      <w:tr>
        <w:trPr>
          <w:cantSplit/>
        </w:trPr>
        <w:tc>
          <w:tcPr>
            <w:tcBorders>
              <w:top w:val="single" w:sz="1" w:space="0" w:color="000000"/>
              <w:bottom w:val="single" w:sz="1" w:space="0" w:color="000000"/>
            </w:tcBorders>
          </w:tcPr>
          <w:p>
            <w:pPr>
              <w:spacing w:lineRule="auto"/>
            </w:pPr>
            <w:r>
              <w:rPr>
                <w:b/>
              </w:rPr>
              <w:t xml:space="preserve">GAAP Diluted EPS</w:t>
            </w:r>
          </w:p>
        </w:tc>
        <w:tc>
          <w:tcPr>
            <w:tcBorders>
              <w:top w:val="single" w:sz="1" w:space="0" w:color="000000"/>
              <w:left w:val="single" w:sz="1" w:space="0" w:color="000000"/>
              <w:bottom w:val="single" w:sz="1" w:space="0" w:color="000000"/>
            </w:tcBorders>
          </w:tcPr>
          <w:p>
            <w:pPr>
              <w:spacing w:lineRule="auto"/>
            </w:pPr>
            <w:hyperlink r:id="rId27">
              <w:r>
                <w:rPr>
                  <w:color w:val="4472C4"/>
                </w:rPr>
                <w:t xml:space="preserve">$33.97</w:t>
              </w:r>
            </w:hyperlink>
          </w:p>
        </w:tc>
        <w:tc>
          <w:tcPr>
            <w:tcBorders>
              <w:top w:val="single" w:sz="1" w:space="0" w:color="000000"/>
              <w:left w:val="single" w:sz="1" w:space="0" w:color="000000"/>
              <w:bottom w:val="single" w:sz="1" w:space="0" w:color="000000"/>
            </w:tcBorders>
          </w:tcPr>
          <w:p>
            <w:pPr>
              <w:spacing w:lineRule="auto"/>
            </w:pPr>
            <w:hyperlink r:id="rId28">
              <w:r>
                <w:rPr>
                  <w:color w:val="4472C4"/>
                </w:rPr>
                <w:t xml:space="preserve">$36.51</w:t>
              </w:r>
            </w:hyperlink>
          </w:p>
        </w:tc>
        <w:tc>
          <w:tcPr>
            <w:tcBorders>
              <w:top w:val="single" w:sz="1" w:space="0" w:color="000000"/>
              <w:left w:val="single" w:sz="1" w:space="0" w:color="000000"/>
              <w:bottom w:val="single" w:sz="1" w:space="0" w:color="000000"/>
            </w:tcBorders>
          </w:tcPr>
          <w:p>
            <w:pPr>
              <w:spacing w:lineRule="auto"/>
            </w:pPr>
            <w:hyperlink r:id="rId29">
              <w:r>
                <w:rPr>
                  <w:color w:val="4472C4"/>
                </w:rPr>
                <w:t xml:space="preserve">$42.01</w:t>
              </w:r>
            </w:hyperlink>
          </w:p>
        </w:tc>
        <w:tc>
          <w:tcPr>
            <w:tcBorders>
              <w:top w:val="single" w:sz="1" w:space="0" w:color="000000"/>
              <w:left w:val="single" w:sz="1" w:space="0" w:color="000000"/>
              <w:bottom w:val="single" w:sz="1" w:space="0" w:color="000000"/>
            </w:tcBorders>
          </w:tcPr>
          <w:p>
            <w:pPr>
              <w:spacing w:lineRule="auto"/>
            </w:pPr>
            <w:hyperlink r:id="rId30">
              <w:r>
                <w:rPr>
                  <w:color w:val="4472C4"/>
                </w:rPr>
                <w:t xml:space="preserve">$35.31</w:t>
              </w:r>
            </w:hyperlink>
          </w:p>
        </w:tc>
      </w:tr>
      <w:tr>
        <w:trPr>
          <w:cantSplit/>
        </w:trPr>
        <w:tc>
          <w:tcPr>
            <w:tcBorders>
              <w:top w:val="single" w:sz="1" w:space="0" w:color="000000"/>
              <w:bottom w:val="single" w:sz="1" w:space="0" w:color="000000"/>
            </w:tcBorders>
          </w:tcPr>
          <w:p>
            <w:pPr>
              <w:spacing w:lineRule="auto"/>
            </w:pPr>
            <w:r>
              <w:rPr>
                <w:b/>
              </w:rPr>
              <w:t xml:space="preserve">Adjusted EPS</w:t>
            </w:r>
          </w:p>
        </w:tc>
        <w:tc>
          <w:tcPr>
            <w:tcBorders>
              <w:top w:val="single" w:sz="1" w:space="0" w:color="000000"/>
              <w:left w:val="single" w:sz="1" w:space="0" w:color="000000"/>
              <w:bottom w:val="single" w:sz="1" w:space="0" w:color="000000"/>
            </w:tcBorders>
          </w:tcPr>
          <w:p>
            <w:pPr>
              <w:spacing w:lineRule="auto"/>
            </w:pPr>
            <w:hyperlink r:id="rId31">
              <w:r>
                <w:rPr>
                  <w:color w:val="4472C4"/>
                </w:rPr>
                <w:t xml:space="preserve">$35.36</w:t>
              </w:r>
            </w:hyperlink>
          </w:p>
        </w:tc>
        <w:tc>
          <w:tcPr>
            <w:tcBorders>
              <w:top w:val="single" w:sz="1" w:space="0" w:color="000000"/>
              <w:left w:val="single" w:sz="1" w:space="0" w:color="000000"/>
              <w:bottom w:val="single" w:sz="1" w:space="0" w:color="000000"/>
            </w:tcBorders>
          </w:tcPr>
          <w:p>
            <w:pPr>
              <w:spacing w:lineRule="auto"/>
            </w:pPr>
            <w:hyperlink r:id="rId32">
              <w:r>
                <w:rPr>
                  <w:color w:val="4472C4"/>
                </w:rPr>
                <w:t xml:space="preserve">$37.77</w:t>
              </w:r>
            </w:hyperlink>
          </w:p>
        </w:tc>
        <w:tc>
          <w:tcPr>
            <w:tcBorders>
              <w:top w:val="single" w:sz="1" w:space="0" w:color="000000"/>
              <w:left w:val="single" w:sz="1" w:space="0" w:color="000000"/>
              <w:bottom w:val="single" w:sz="1" w:space="0" w:color="000000"/>
            </w:tcBorders>
          </w:tcPr>
          <w:p>
            <w:pPr>
              <w:spacing w:lineRule="auto"/>
            </w:pPr>
            <w:hyperlink r:id="rId33">
              <w:r>
                <w:rPr>
                  <w:color w:val="4472C4"/>
                </w:rPr>
                <w:t xml:space="preserve">$43.61</w:t>
              </w:r>
            </w:hyperlink>
          </w:p>
        </w:tc>
        <w:tc>
          <w:tcPr>
            <w:tcBorders>
              <w:top w:val="single" w:sz="1" w:space="0" w:color="000000"/>
              <w:left w:val="single" w:sz="1" w:space="0" w:color="000000"/>
              <w:bottom w:val="single" w:sz="1" w:space="0" w:color="000000"/>
            </w:tcBorders>
          </w:tcPr>
          <w:p>
            <w:pPr>
              <w:spacing w:lineRule="auto"/>
            </w:pPr>
            <w:hyperlink r:id="rId34">
              <w:r>
                <w:rPr>
                  <w:color w:val="4472C4"/>
                </w:rPr>
                <w:t xml:space="preserve">$48.09</w:t>
              </w:r>
            </w:hyperlink>
          </w:p>
        </w:tc>
      </w:tr>
      <w:tr>
        <w:trPr>
          <w:cantSplit/>
        </w:trPr>
        <w:tc>
          <w:tcPr>
            <w:tcBorders>
              <w:top w:val="single" w:sz="1" w:space="0" w:color="000000"/>
              <w:bottom w:val="single" w:sz="1" w:space="0" w:color="000000"/>
            </w:tcBorders>
          </w:tcPr>
          <w:p>
            <w:pPr>
              <w:spacing w:lineRule="auto"/>
            </w:pPr>
            <w:r>
              <w:rPr>
                <w:b/>
              </w:rPr>
              <w:t xml:space="preserve">Adj. EPS YoY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+6.8%</w:t>
            </w:r>
          </w:p>
        </w:tc>
        <w:tc>
          <w:tcPr>
            <w:tcBorders>
              <w:top w:val="single" w:sz="1" w:space="0" w:color="000000"/>
              <w:left w:val="single" w:sz="1" w:space="0" w:color="000000"/>
              <w:bottom w:val="single" w:sz="1" w:space="0" w:color="000000"/>
            </w:tcBorders>
          </w:tcPr>
          <w:p>
            <w:pPr>
              <w:spacing w:lineRule="auto"/>
            </w:pPr>
            <w:r>
              <w:rPr/>
              <w:t xml:space="preserve">+15.5%</w:t>
            </w:r>
          </w:p>
        </w:tc>
        <w:tc>
          <w:tcPr>
            <w:tcBorders>
              <w:top w:val="single" w:sz="1" w:space="0" w:color="000000"/>
              <w:left w:val="single" w:sz="1" w:space="0" w:color="000000"/>
              <w:bottom w:val="single" w:sz="1" w:space="0" w:color="000000"/>
            </w:tcBorders>
          </w:tcPr>
          <w:p>
            <w:pPr>
              <w:spacing w:lineRule="auto"/>
            </w:pPr>
            <w:r>
              <w:rPr/>
              <w:t xml:space="preserve">+10.3%[2]</w:t>
            </w:r>
          </w:p>
        </w:tc>
      </w:tr>
      <w:tr>
        <w:trPr>
          <w:cantSplit/>
        </w:trPr>
        <w:tc>
          <w:tcPr>
            <w:tcBorders>
              <w:top w:val="single" w:sz="1" w:space="0" w:color="000000"/>
              <w:bottom w:val="single" w:sz="1" w:space="0" w:color="000000"/>
            </w:tcBorders>
          </w:tcPr>
          <w:p>
            <w:pPr>
              <w:spacing w:lineRule="auto"/>
            </w:pPr>
            <w:r>
              <w:rPr>
                <w:b/>
              </w:rPr>
              <w:t xml:space="preserve">Full-Year Net Inflows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~$307B[4]</w:t>
            </w:r>
          </w:p>
        </w:tc>
        <w:tc>
          <w:tcPr>
            <w:tcBorders>
              <w:top w:val="single" w:sz="1" w:space="0" w:color="000000"/>
              <w:left w:val="single" w:sz="1" w:space="0" w:color="000000"/>
              <w:bottom w:val="single" w:sz="1" w:space="0" w:color="000000"/>
            </w:tcBorders>
          </w:tcPr>
          <w:p>
            <w:pPr>
              <w:spacing w:lineRule="auto"/>
            </w:pPr>
            <w:r>
              <w:rPr/>
              <w:t xml:space="preserve">$289B[6][7]</w:t>
            </w:r>
          </w:p>
        </w:tc>
        <w:tc>
          <w:tcPr>
            <w:tcBorders>
              <w:top w:val="single" w:sz="1" w:space="0" w:color="000000"/>
              <w:left w:val="single" w:sz="1" w:space="0" w:color="000000"/>
              <w:bottom w:val="single" w:sz="1" w:space="0" w:color="000000"/>
            </w:tcBorders>
          </w:tcPr>
          <w:p>
            <w:pPr>
              <w:spacing w:lineRule="auto"/>
            </w:pPr>
            <w:r>
              <w:rPr/>
              <w:t xml:space="preserve">$641B[8][9]</w:t>
            </w:r>
          </w:p>
        </w:tc>
        <w:tc>
          <w:tcPr>
            <w:tcBorders>
              <w:top w:val="single" w:sz="1" w:space="0" w:color="000000"/>
              <w:left w:val="single" w:sz="1" w:space="0" w:color="000000"/>
              <w:bottom w:val="single" w:sz="1" w:space="0" w:color="000000"/>
            </w:tcBorders>
          </w:tcPr>
          <w:p>
            <w:pPr>
              <w:spacing w:lineRule="auto"/>
            </w:pPr>
            <w:r>
              <w:rPr/>
              <w:t xml:space="preserve">$698B[2][11]</w:t>
            </w:r>
          </w:p>
        </w:tc>
      </w:tr>
      <w:tr>
        <w:trPr>
          <w:cantSplit/>
        </w:trPr>
        <w:tc>
          <w:tcPr>
            <w:tcBorders>
              <w:top w:val="single" w:sz="1" w:space="0" w:color="000000"/>
              <w:bottom w:val="single" w:sz="1" w:space="0" w:color="000000"/>
            </w:tcBorders>
          </w:tcPr>
          <w:p>
            <w:pPr>
              <w:spacing w:lineRule="auto"/>
            </w:pPr>
            <w:r>
              <w:rPr>
                <w:b/>
              </w:rPr>
              <w:t xml:space="preserve">Adj. Free Cash Flow</w:t>
            </w:r>
          </w:p>
        </w:tc>
        <w:tc>
          <w:tcPr>
            <w:tcBorders>
              <w:top w:val="single" w:sz="1" w:space="0" w:color="000000"/>
              <w:left w:val="single" w:sz="1" w:space="0" w:color="000000"/>
              <w:bottom w:val="single" w:sz="1" w:space="0" w:color="000000"/>
            </w:tcBorders>
          </w:tcPr>
          <w:p>
            <w:pPr>
              <w:spacing w:lineRule="auto"/>
            </w:pPr>
            <w:hyperlink r:id="rId35">
              <w:r>
                <w:rPr>
                  <w:color w:val="4472C4"/>
                </w:rPr>
                <w:t xml:space="preserve">$4.42B</w:t>
              </w:r>
            </w:hyperlink>
          </w:p>
        </w:tc>
        <w:tc>
          <w:tcPr>
            <w:tcBorders>
              <w:top w:val="single" w:sz="1" w:space="0" w:color="000000"/>
              <w:left w:val="single" w:sz="1" w:space="0" w:color="000000"/>
              <w:bottom w:val="single" w:sz="1" w:space="0" w:color="000000"/>
            </w:tcBorders>
          </w:tcPr>
          <w:p>
            <w:pPr>
              <w:spacing w:lineRule="auto"/>
            </w:pPr>
            <w:hyperlink r:id="rId36">
              <w:r>
                <w:rPr>
                  <w:color w:val="4472C4"/>
                </w:rPr>
                <w:t xml:space="preserve">$3.82B</w:t>
              </w:r>
            </w:hyperlink>
          </w:p>
        </w:tc>
        <w:tc>
          <w:tcPr>
            <w:tcBorders>
              <w:top w:val="single" w:sz="1" w:space="0" w:color="000000"/>
              <w:left w:val="single" w:sz="1" w:space="0" w:color="000000"/>
              <w:bottom w:val="single" w:sz="1" w:space="0" w:color="000000"/>
            </w:tcBorders>
          </w:tcPr>
          <w:p>
            <w:pPr>
              <w:spacing w:lineRule="auto"/>
            </w:pPr>
            <w:hyperlink r:id="rId37">
              <w:r>
                <w:rPr>
                  <w:color w:val="4472C4"/>
                </w:rPr>
                <w:t xml:space="preserve">$4.70B</w:t>
              </w:r>
            </w:hyperlink>
          </w:p>
        </w:tc>
        <w:tc>
          <w:tcPr>
            <w:tcBorders>
              <w:top w:val="single" w:sz="1" w:space="0" w:color="000000"/>
              <w:left w:val="single" w:sz="1" w:space="0" w:color="000000"/>
              <w:bottom w:val="single" w:sz="1" w:space="0" w:color="000000"/>
            </w:tcBorders>
          </w:tcPr>
          <w:p>
            <w:pPr>
              <w:spacing w:lineRule="auto"/>
            </w:pPr>
            <w:hyperlink r:id="rId38">
              <w:r>
                <w:rPr>
                  <w:color w:val="4472C4"/>
                </w:rPr>
                <w:t xml:space="preserve">$3.55B</w:t>
              </w:r>
            </w:hyperlink>
          </w:p>
        </w:tc>
      </w:tr>
    </w:tbl>
    <w:p>
      <w:pPr>
        <w:spacing w:lineRule="auto"/>
      </w:pPr>
    </w:p>
    <w:p>
      <w:pPr>
        <w:spacing w:after="210" w:lineRule="auto"/>
        <w:ind w:left="630"/>
      </w:pPr>
      <w:r>
        <w:rPr>
          <w:b/>
          <w:color w:val="666666"/>
        </w:rPr>
        <w:t xml:space="preserve">Note:</w:t>
      </w:r>
      <w:r>
        <w:rPr>
          <w:color w:val="666666"/>
        </w:rPr>
        <w:t xml:space="preserve"> GAAP Operating Income in FY2025 reflects significant noncash acquisition-related expenses (primarily from GIP and HPS closings). Adjusted figures exclude these items. Adjusted EPS consensus estimate for FY2025 was $47.35.[3]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q4_2025_quarterly_highlights"/>
      <w:r>
        <w:rPr>
          <w:b/>
          <w:sz w:val="42"/>
        </w:rPr>
        <w:t xml:space="preserve">Q4 2025 Quarterly Highlights</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Q4 2024</w:t>
            </w:r>
          </w:p>
        </w:tc>
        <w:tc>
          <w:tcPr>
            <w:tcBorders>
              <w:top w:val="single" w:sz="1" w:space="0" w:color="000000"/>
              <w:left w:val="single" w:sz="1" w:space="0" w:color="000000"/>
              <w:bottom w:val="single" w:sz="1" w:space="0" w:color="000000"/>
            </w:tcBorders>
          </w:tcPr>
          <w:p>
            <w:pPr>
              <w:spacing w:lineRule="auto"/>
            </w:pPr>
            <w:r>
              <w:rPr/>
              <w:t xml:space="preserve">Q4 2025</w:t>
            </w:r>
          </w:p>
        </w:tc>
        <w:tc>
          <w:tcPr>
            <w:tcBorders>
              <w:top w:val="single" w:sz="1" w:space="0" w:color="000000"/>
              <w:left w:val="single" w:sz="1" w:space="0" w:color="000000"/>
              <w:bottom w:val="single" w:sz="1" w:space="0" w:color="000000"/>
            </w:tcBorders>
          </w:tcPr>
          <w:p>
            <w:pPr>
              <w:spacing w:lineRule="auto"/>
            </w:pPr>
            <w:r>
              <w:rPr/>
              <w:t xml:space="preserve">YoY Change</w:t>
            </w:r>
          </w:p>
        </w:tc>
      </w:tr>
      <w:tr>
        <w:trPr>
          <w:cantSplit/>
        </w:trPr>
        <w:tc>
          <w:tcPr>
            <w:tcBorders>
              <w:top w:val="single" w:sz="1" w:space="0" w:color="000000"/>
              <w:bottom w:val="single" w:sz="1" w:space="0" w:color="000000"/>
            </w:tcBorders>
          </w:tcPr>
          <w:p>
            <w:pPr>
              <w:spacing w:lineRule="auto"/>
            </w:pPr>
            <w:r>
              <w:rPr/>
              <w:t xml:space="preserve">Revenue</w:t>
            </w:r>
          </w:p>
        </w:tc>
        <w:tc>
          <w:tcPr>
            <w:tcBorders>
              <w:top w:val="single" w:sz="1" w:space="0" w:color="000000"/>
              <w:left w:val="single" w:sz="1" w:space="0" w:color="000000"/>
              <w:bottom w:val="single" w:sz="1" w:space="0" w:color="000000"/>
            </w:tcBorders>
          </w:tcPr>
          <w:p>
            <w:pPr>
              <w:spacing w:lineRule="auto"/>
            </w:pPr>
            <w:hyperlink r:id="rId39">
              <w:r>
                <w:rPr>
                  <w:color w:val="4472C4"/>
                </w:rPr>
                <w:t xml:space="preserve">$5.68B</w:t>
              </w:r>
            </w:hyperlink>
          </w:p>
        </w:tc>
        <w:tc>
          <w:tcPr>
            <w:tcBorders>
              <w:top w:val="single" w:sz="1" w:space="0" w:color="000000"/>
              <w:left w:val="single" w:sz="1" w:space="0" w:color="000000"/>
              <w:bottom w:val="single" w:sz="1" w:space="0" w:color="000000"/>
            </w:tcBorders>
          </w:tcPr>
          <w:p>
            <w:pPr>
              <w:spacing w:lineRule="auto"/>
            </w:pPr>
            <w:hyperlink r:id="rId40">
              <w:r>
                <w:rPr>
                  <w:color w:val="4472C4"/>
                </w:rPr>
                <w:t xml:space="preserve">$7.01B</w:t>
              </w:r>
            </w:hyperlink>
          </w:p>
        </w:tc>
        <w:tc>
          <w:tcPr>
            <w:tcBorders>
              <w:top w:val="single" w:sz="1" w:space="0" w:color="000000"/>
              <w:left w:val="single" w:sz="1" w:space="0" w:color="000000"/>
              <w:bottom w:val="single" w:sz="1" w:space="0" w:color="000000"/>
            </w:tcBorders>
          </w:tcPr>
          <w:p>
            <w:pPr>
              <w:spacing w:lineRule="auto"/>
            </w:pPr>
            <w:hyperlink r:id="rId41">
              <w:r>
                <w:rPr>
                  <w:color w:val="4472C4"/>
                </w:rPr>
                <w:t xml:space="preserve">+23.4%</w:t>
              </w:r>
            </w:hyperlink>
          </w:p>
        </w:tc>
      </w:tr>
      <w:tr>
        <w:trPr>
          <w:cantSplit/>
        </w:trPr>
        <w:tc>
          <w:tcPr>
            <w:tcBorders>
              <w:top w:val="single" w:sz="1" w:space="0" w:color="000000"/>
              <w:bottom w:val="single" w:sz="1" w:space="0" w:color="000000"/>
            </w:tcBorders>
          </w:tcPr>
          <w:p>
            <w:pPr>
              <w:spacing w:lineRule="auto"/>
            </w:pPr>
            <w:r>
              <w:rPr/>
              <w:t xml:space="preserve">GAAP Operating Income</w:t>
            </w:r>
          </w:p>
        </w:tc>
        <w:tc>
          <w:tcPr>
            <w:tcBorders>
              <w:top w:val="single" w:sz="1" w:space="0" w:color="000000"/>
              <w:left w:val="single" w:sz="1" w:space="0" w:color="000000"/>
              <w:bottom w:val="single" w:sz="1" w:space="0" w:color="000000"/>
            </w:tcBorders>
          </w:tcPr>
          <w:p>
            <w:pPr>
              <w:spacing w:lineRule="auto"/>
            </w:pPr>
            <w:hyperlink r:id="rId42">
              <w:r>
                <w:rPr>
                  <w:color w:val="4472C4"/>
                </w:rPr>
                <w:t xml:space="preserve">$2.08B</w:t>
              </w:r>
            </w:hyperlink>
          </w:p>
        </w:tc>
        <w:tc>
          <w:tcPr>
            <w:tcBorders>
              <w:top w:val="single" w:sz="1" w:space="0" w:color="000000"/>
              <w:left w:val="single" w:sz="1" w:space="0" w:color="000000"/>
              <w:bottom w:val="single" w:sz="1" w:space="0" w:color="000000"/>
            </w:tcBorders>
          </w:tcPr>
          <w:p>
            <w:pPr>
              <w:spacing w:lineRule="auto"/>
            </w:pPr>
            <w:hyperlink r:id="rId43">
              <w:r>
                <w:rPr>
                  <w:color w:val="4472C4"/>
                </w:rPr>
                <w:t xml:space="preserve">$1.66B</w:t>
              </w:r>
            </w:hyperlink>
          </w:p>
        </w:tc>
        <w:tc>
          <w:tcPr>
            <w:tcBorders>
              <w:top w:val="single" w:sz="1" w:space="0" w:color="000000"/>
              <w:left w:val="single" w:sz="1" w:space="0" w:color="000000"/>
              <w:bottom w:val="single" w:sz="1" w:space="0" w:color="000000"/>
            </w:tcBorders>
          </w:tcPr>
          <w:p>
            <w:pPr>
              <w:spacing w:lineRule="auto"/>
            </w:pPr>
            <w:r>
              <w:rPr/>
              <w:t xml:space="preserve">(20.0%)</w:t>
            </w:r>
          </w:p>
        </w:tc>
      </w:tr>
      <w:tr>
        <w:trPr>
          <w:cantSplit/>
        </w:trPr>
        <w:tc>
          <w:tcPr>
            <w:tcBorders>
              <w:top w:val="single" w:sz="1" w:space="0" w:color="000000"/>
              <w:bottom w:val="single" w:sz="1" w:space="0" w:color="000000"/>
            </w:tcBorders>
          </w:tcPr>
          <w:p>
            <w:pPr>
              <w:spacing w:lineRule="auto"/>
            </w:pPr>
            <w:r>
              <w:rPr/>
              <w:t xml:space="preserve">Adj. Operating Income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~$1.72B[12]</w:t>
            </w:r>
          </w:p>
        </w:tc>
        <w:tc>
          <w:tcPr>
            <w:tcBorders>
              <w:top w:val="single" w:sz="1" w:space="0" w:color="000000"/>
              <w:left w:val="single" w:sz="1" w:space="0" w:color="000000"/>
              <w:bottom w:val="single" w:sz="1" w:space="0" w:color="000000"/>
            </w:tcBorders>
          </w:tcPr>
          <w:p>
            <w:pPr>
              <w:spacing w:lineRule="auto"/>
            </w:pPr>
            <w:r>
              <w:rPr/>
              <w:t xml:space="preserve">$2.85B[12]</w:t>
            </w:r>
          </w:p>
        </w:tc>
        <w:tc>
          <w:tcPr>
            <w:tcBorders>
              <w:top w:val="single" w:sz="1" w:space="0" w:color="000000"/>
              <w:left w:val="single" w:sz="1" w:space="0" w:color="000000"/>
              <w:bottom w:val="single" w:sz="1" w:space="0" w:color="000000"/>
            </w:tcBorders>
          </w:tcPr>
          <w:p>
            <w:pPr>
              <w:spacing w:lineRule="auto"/>
            </w:pPr>
            <w:r>
              <w:rPr/>
              <w:t xml:space="preserve">+65.7%[12]</w:t>
            </w:r>
          </w:p>
        </w:tc>
      </w:tr>
      <w:tr>
        <w:trPr>
          <w:cantSplit/>
        </w:trPr>
        <w:tc>
          <w:tcPr>
            <w:tcBorders>
              <w:top w:val="single" w:sz="1" w:space="0" w:color="000000"/>
              <w:bottom w:val="single" w:sz="1" w:space="0" w:color="000000"/>
            </w:tcBorders>
          </w:tcPr>
          <w:p>
            <w:pPr>
              <w:spacing w:lineRule="auto"/>
            </w:pPr>
            <w:r>
              <w:rPr/>
              <w:t xml:space="preserve">GAAP Diluted EPS</w:t>
            </w:r>
          </w:p>
        </w:tc>
        <w:tc>
          <w:tcPr>
            <w:tcBorders>
              <w:top w:val="single" w:sz="1" w:space="0" w:color="000000"/>
              <w:left w:val="single" w:sz="1" w:space="0" w:color="000000"/>
              <w:bottom w:val="single" w:sz="1" w:space="0" w:color="000000"/>
            </w:tcBorders>
          </w:tcPr>
          <w:p>
            <w:pPr>
              <w:spacing w:lineRule="auto"/>
            </w:pPr>
            <w:hyperlink r:id="rId44">
              <w:r>
                <w:rPr>
                  <w:color w:val="4472C4"/>
                </w:rPr>
                <w:t xml:space="preserve">$10.63</w:t>
              </w:r>
            </w:hyperlink>
          </w:p>
        </w:tc>
        <w:tc>
          <w:tcPr>
            <w:tcBorders>
              <w:top w:val="single" w:sz="1" w:space="0" w:color="000000"/>
              <w:left w:val="single" w:sz="1" w:space="0" w:color="000000"/>
              <w:bottom w:val="single" w:sz="1" w:space="0" w:color="000000"/>
            </w:tcBorders>
          </w:tcPr>
          <w:p>
            <w:pPr>
              <w:spacing w:lineRule="auto"/>
            </w:pPr>
            <w:hyperlink r:id="rId45">
              <w:r>
                <w:rPr>
                  <w:color w:val="4472C4"/>
                </w:rPr>
                <w:t xml:space="preserve">$7.16</w:t>
              </w:r>
            </w:hyperlink>
          </w:p>
        </w:tc>
        <w:tc>
          <w:tcPr>
            <w:tcBorders>
              <w:top w:val="single" w:sz="1" w:space="0" w:color="000000"/>
              <w:left w:val="single" w:sz="1" w:space="0" w:color="000000"/>
              <w:bottom w:val="single" w:sz="1" w:space="0" w:color="000000"/>
            </w:tcBorders>
          </w:tcPr>
          <w:p>
            <w:pPr>
              <w:spacing w:lineRule="auto"/>
            </w:pPr>
            <w:r>
              <w:rPr/>
              <w:t xml:space="preserve">(32.6%)</w:t>
            </w:r>
          </w:p>
        </w:tc>
      </w:tr>
      <w:tr>
        <w:trPr>
          <w:cantSplit/>
        </w:trPr>
        <w:tc>
          <w:tcPr>
            <w:tcBorders>
              <w:top w:val="single" w:sz="1" w:space="0" w:color="000000"/>
              <w:bottom w:val="single" w:sz="1" w:space="0" w:color="000000"/>
            </w:tcBorders>
          </w:tcPr>
          <w:p>
            <w:pPr>
              <w:spacing w:lineRule="auto"/>
            </w:pPr>
            <w:r>
              <w:rPr/>
              <w:t xml:space="preserve">Adj. EPS</w:t>
            </w:r>
          </w:p>
        </w:tc>
        <w:tc>
          <w:tcPr>
            <w:tcBorders>
              <w:top w:val="single" w:sz="1" w:space="0" w:color="000000"/>
              <w:left w:val="single" w:sz="1" w:space="0" w:color="000000"/>
              <w:bottom w:val="single" w:sz="1" w:space="0" w:color="000000"/>
            </w:tcBorders>
          </w:tcPr>
          <w:p>
            <w:pPr>
              <w:spacing w:lineRule="auto"/>
            </w:pPr>
            <w:r>
              <w:rPr/>
              <w:t xml:space="preserve">$11.93[8]</w:t>
            </w:r>
          </w:p>
        </w:tc>
        <w:tc>
          <w:tcPr>
            <w:tcBorders>
              <w:top w:val="single" w:sz="1" w:space="0" w:color="000000"/>
              <w:left w:val="single" w:sz="1" w:space="0" w:color="000000"/>
              <w:bottom w:val="single" w:sz="1" w:space="0" w:color="000000"/>
            </w:tcBorders>
          </w:tcPr>
          <w:p>
            <w:pPr>
              <w:spacing w:lineRule="auto"/>
            </w:pPr>
            <w:r>
              <w:rPr/>
              <w:t xml:space="preserve">$13.16[13][10]</w:t>
            </w:r>
          </w:p>
        </w:tc>
        <w:tc>
          <w:tcPr>
            <w:tcBorders>
              <w:top w:val="single" w:sz="1" w:space="0" w:color="000000"/>
              <w:left w:val="single" w:sz="1" w:space="0" w:color="000000"/>
              <w:bottom w:val="single" w:sz="1" w:space="0" w:color="000000"/>
            </w:tcBorders>
          </w:tcPr>
          <w:p>
            <w:pPr>
              <w:spacing w:lineRule="auto"/>
            </w:pPr>
            <w:r>
              <w:rPr/>
              <w:t xml:space="preserve">+10.3%</w:t>
            </w:r>
          </w:p>
        </w:tc>
      </w:tr>
      <w:tr>
        <w:trPr>
          <w:cantSplit/>
        </w:trPr>
        <w:tc>
          <w:tcPr>
            <w:tcBorders>
              <w:top w:val="single" w:sz="1" w:space="0" w:color="000000"/>
              <w:bottom w:val="single" w:sz="1" w:space="0" w:color="000000"/>
            </w:tcBorders>
          </w:tcPr>
          <w:p>
            <w:pPr>
              <w:spacing w:lineRule="auto"/>
            </w:pPr>
            <w:r>
              <w:rPr/>
              <w:t xml:space="preserve">Long-Term Net Inflows</w:t>
            </w:r>
          </w:p>
        </w:tc>
        <w:tc>
          <w:tcPr>
            <w:tcBorders>
              <w:top w:val="single" w:sz="1" w:space="0" w:color="000000"/>
              <w:left w:val="single" w:sz="1" w:space="0" w:color="000000"/>
              <w:bottom w:val="single" w:sz="1" w:space="0" w:color="000000"/>
            </w:tcBorders>
          </w:tcPr>
          <w:p>
            <w:pPr>
              <w:spacing w:lineRule="auto"/>
            </w:pPr>
            <w:r>
              <w:rPr/>
              <w:t xml:space="preserve">$201B[14]</w:t>
            </w:r>
          </w:p>
        </w:tc>
        <w:tc>
          <w:tcPr>
            <w:tcBorders>
              <w:top w:val="single" w:sz="1" w:space="0" w:color="000000"/>
              <w:left w:val="single" w:sz="1" w:space="0" w:color="000000"/>
              <w:bottom w:val="single" w:sz="1" w:space="0" w:color="000000"/>
            </w:tcBorders>
          </w:tcPr>
          <w:p>
            <w:pPr>
              <w:spacing w:lineRule="auto"/>
            </w:pPr>
            <w:r>
              <w:rPr/>
              <w:t xml:space="preserve">$268B[10][5]</w:t>
            </w:r>
          </w:p>
        </w:tc>
        <w:tc>
          <w:tcPr>
            <w:tcBorders>
              <w:top w:val="single" w:sz="1" w:space="0" w:color="000000"/>
              <w:left w:val="single" w:sz="1" w:space="0" w:color="000000"/>
              <w:bottom w:val="single" w:sz="1" w:space="0" w:color="000000"/>
            </w:tcBorders>
          </w:tcPr>
          <w:p>
            <w:pPr>
              <w:spacing w:lineRule="auto"/>
            </w:pPr>
            <w:r>
              <w:rPr/>
              <w:t xml:space="preserve">+33.3%</w:t>
            </w:r>
          </w:p>
        </w:tc>
      </w:tr>
      <w:tr>
        <w:trPr>
          <w:cantSplit/>
        </w:trPr>
        <w:tc>
          <w:tcPr>
            <w:tcBorders>
              <w:top w:val="single" w:sz="1" w:space="0" w:color="000000"/>
              <w:bottom w:val="single" w:sz="1" w:space="0" w:color="000000"/>
            </w:tcBorders>
          </w:tcPr>
          <w:p>
            <w:pPr>
              <w:spacing w:lineRule="auto"/>
            </w:pPr>
            <w:r>
              <w:rPr/>
              <w:t xml:space="preserve">Annualized Organic AUM Growth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~6%[8]</w:t>
            </w:r>
          </w:p>
        </w:tc>
        <w:tc>
          <w:tcPr>
            <w:tcBorders>
              <w:top w:val="single" w:sz="1" w:space="0" w:color="000000"/>
              <w:left w:val="single" w:sz="1" w:space="0" w:color="000000"/>
              <w:bottom w:val="single" w:sz="1" w:space="0" w:color="000000"/>
            </w:tcBorders>
          </w:tcPr>
          <w:p>
            <w:pPr>
              <w:spacing w:lineRule="auto"/>
            </w:pPr>
            <w:r>
              <w:rPr/>
              <w:t xml:space="preserve">8.6%[5]</w:t>
            </w:r>
          </w:p>
        </w:tc>
        <w:tc>
          <w:tcPr>
            <w:tcBorders>
              <w:top w:val="single" w:sz="1" w:space="0" w:color="000000"/>
              <w:left w:val="single" w:sz="1" w:space="0" w:color="000000"/>
              <w:bottom w:val="single" w:sz="1" w:space="0" w:color="000000"/>
            </w:tcBorders>
          </w:tcPr>
          <w:p>
            <w:pPr>
              <w:spacing w:lineRule="auto"/>
            </w:pPr>
            <w:r>
              <w:rPr/>
              <w:t xml:space="preserve">+260 bps</w:t>
            </w:r>
          </w:p>
        </w:tc>
      </w:tr>
    </w:tbl>
    <w:p>
      <w:pPr>
        <w:spacing w:lineRule="auto"/>
      </w:pPr>
    </w:p>
    <w:p>
      <w:pPr>
        <w:spacing w:after="210" w:lineRule="auto"/>
        <w:ind w:left="630"/>
      </w:pPr>
      <w:r>
        <w:rPr>
          <w:b/>
          <w:color w:val="666666"/>
        </w:rPr>
        <w:t xml:space="preserve">Note:</w:t>
      </w:r>
      <w:r>
        <w:rPr>
          <w:color w:val="666666"/>
        </w:rPr>
        <w:t xml:space="preserve"> Q4 2025 GAAP figures reflect acquisition-related noncash charges associated with HPS Investment Partners (closed July 2025) and ElmTree. Adj. figures exclude these items.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aum_net_flows_analysis"/>
      <w:r>
        <w:rPr>
          <w:b/>
          <w:sz w:val="42"/>
        </w:rPr>
        <w:t xml:space="preserve">AUM &amp; Net Flows Analysis</w:t>
      </w:r>
      <w:bookmarkEnd w:id="4"/>
    </w:p>
    <w:p>
      <w:pPr>
        <w:spacing w:line="271" w:before="240" w:lineRule="auto"/>
      </w:pPr>
      <w:bookmarkStart w:id="5" w:name="aum_trajectory"/>
      <w:r>
        <w:rPr>
          <w:b/>
          <w:sz w:val="33"/>
        </w:rPr>
        <w:t xml:space="preserve">AUM Trajectory</w:t>
      </w:r>
      <w:bookmarkEnd w:id="5"/>
    </w:p>
    <w:p>
      <w:pPr>
        <w:spacing w:after="210" w:lineRule="auto"/>
      </w:pPr>
      <w:r>
        <w:rPr/>
        <w:t xml:space="preserve">BlackRock's AUM journey across this period tells a tale of market-driven compression followed by record expansion:</w:t>
      </w:r>
    </w:p>
    <w:p>
      <w:pPr>
        <w:numPr>
          <w:ilvl w:val="0"/>
          <w:numId w:val="1"/>
        </w:numPr>
        <w:spacing w:lineRule="auto"/>
      </w:pPr>
      <w:r>
        <w:rPr>
          <w:b/>
        </w:rPr>
        <w:t xml:space="preserve">FY2022 ($8.59T):</w:t>
      </w:r>
      <w:r>
        <w:rPr>
          <w:rFonts w:eastAsia="Georgia" w:cs="Georgia" w:ascii="Georgia" w:hAnsi="Georgia"/>
        </w:rPr>
        <w:t xml:space="preserve"> AUM declined sharply from ~$10 trillion at end-2021 as rising interest rates hammered both equity and fixed income valuations globally. Despite the headwind, the firm still delivered ~$307 billion of net inflows — including $220 billion through iShares ETFs — demonstrating the defensiveness of its passive franchise.[4]</w:t>
      </w:r>
    </w:p>
    <w:p>
      <w:pPr>
        <w:numPr>
          <w:ilvl w:val="0"/>
          <w:numId w:val="1"/>
        </w:numPr>
        <w:spacing w:lineRule="auto"/>
      </w:pPr>
      <w:r>
        <w:rPr>
          <w:b/>
        </w:rPr>
        <w:t xml:space="preserve">FY2023 ($10.01T):</w:t>
      </w:r>
      <w:r>
        <w:rPr/>
        <w:t xml:space="preserve"> AUM rebounded 16% year-over-year, crossing $10 trillion for the first time. Net inflows of $289 billion included $96 billion in Q4 alone, reflecting clients returning to the market after the 2022 dislocation. The firm also announced its landmark acquisition of Global Infrastructure Partners (GIP), framing the next phase of alternatives growth.[6][7]</w:t>
      </w:r>
    </w:p>
    <w:p>
      <w:pPr>
        <w:numPr>
          <w:ilvl w:val="0"/>
          <w:numId w:val="1"/>
        </w:numPr>
        <w:spacing w:lineRule="auto"/>
      </w:pPr>
      <w:r>
        <w:rPr>
          <w:b/>
        </w:rPr>
        <w:t xml:space="preserve">FY2024 ($11.55T):</w:t>
      </w:r>
      <w:r>
        <w:rPr>
          <w:rFonts w:eastAsia="Georgia" w:cs="Georgia" w:ascii="Georgia" w:hAnsi="Georgia"/>
        </w:rPr>
        <w:t xml:space="preserve"> The GIP transaction closed in October 2024, adding over $150 billion in AUM and unlocking roughly $230 million of incremental quarterly fees. Record full-year net inflows of $641 billion — up from $289 billion the prior year — reflected a broad client re-engagement across ETFs ($390B+), fixed income, and private markets. The S&amp;P 500's 23.3% return that year provided a powerful market-beta tailwind on top of organic growth.[8][9][15][14]</w:t>
      </w:r>
    </w:p>
    <w:p>
      <w:pPr>
        <w:numPr>
          <w:ilvl w:val="0"/>
          <w:numId w:val="1"/>
        </w:numPr>
        <w:spacing w:lineRule="auto"/>
      </w:pPr>
      <w:r>
        <w:rPr>
          <w:b/>
        </w:rPr>
        <w:t xml:space="preserve">FY2025 ($14.04T):</w:t>
      </w:r>
      <w:r>
        <w:rPr/>
        <w:t xml:space="preserve"> AUM grew $2.49 trillion year-over-year (+21.6%), driven by a second consecutive record in net inflows at $698 billion and favorable market conditions (S&amp;P 500 +16.4%). The HPS Investment Partners acquisition (closed July 1, 2025) added $165 billion in client AUM. BlackRock became the first asset manager to surpass $14 trillion in AUM.[12][16][2][17][5]</w:t>
      </w:r>
    </w:p>
    <w:p>
      <w:pPr>
        <w:spacing w:line="271" w:before="240" w:lineRule="auto"/>
      </w:pPr>
      <w:bookmarkStart w:id="6" w:name="net_flows_composition_fy2025"/>
      <w:r>
        <w:rPr>
          <w:b/>
          <w:sz w:val="33"/>
        </w:rPr>
        <w:t xml:space="preserve">Net Flows Composition (FY2025)</w:t>
      </w:r>
      <w:bookmarkEnd w:id="6"/>
    </w:p>
    <w:p>
      <w:pPr>
        <w:spacing w:after="210" w:lineRule="auto"/>
      </w:pPr>
      <w:r>
        <w:rPr/>
        <w:t xml:space="preserve">The $698 billion of FY2025 net inflows were diversified across channels:[2]</w:t>
      </w:r>
    </w:p>
    <w:p>
      <w:pPr>
        <w:numPr>
          <w:ilvl w:val="0"/>
          <w:numId w:val="2"/>
        </w:numPr>
        <w:spacing w:lineRule="auto"/>
      </w:pPr>
      <w:r>
        <w:rPr>
          <w:b/>
        </w:rPr>
        <w:t xml:space="preserve">iShares ETFs:</w:t>
      </w:r>
      <w:r>
        <w:rPr>
          <w:rFonts w:eastAsia="Georgia" w:cs="Georgia" w:ascii="Georgia" w:hAnsi="Georgia"/>
        </w:rPr>
        <w:t xml:space="preserve"> $526–527 billion — a record year with 12% organic asset growth and 13% organic base fee growth[13][1]</w:t>
      </w:r>
    </w:p>
    <w:p>
      <w:pPr>
        <w:numPr>
          <w:ilvl w:val="0"/>
          <w:numId w:val="2"/>
        </w:numPr>
        <w:spacing w:lineRule="auto"/>
      </w:pPr>
      <w:r>
        <w:rPr>
          <w:b/>
        </w:rPr>
        <w:t xml:space="preserve">Long-Term Retail (non-ETF):</w:t>
      </w:r>
      <w:r>
        <w:rPr>
          <w:rFonts w:eastAsia="Georgia" w:cs="Georgia" w:ascii="Georgia" w:hAnsi="Georgia"/>
        </w:rPr>
        <w:t xml:space="preserve"> $107 billion, up ~$82 billion year-over-year[2]</w:t>
      </w:r>
    </w:p>
    <w:p>
      <w:pPr>
        <w:numPr>
          <w:ilvl w:val="0"/>
          <w:numId w:val="2"/>
        </w:numPr>
        <w:spacing w:lineRule="auto"/>
      </w:pPr>
      <w:r>
        <w:rPr>
          <w:b/>
        </w:rPr>
        <w:t xml:space="preserve">Cash Management:</w:t>
      </w:r>
      <w:r>
        <w:rPr/>
        <w:t xml:space="preserve"> $131 billion[2]</w:t>
      </w:r>
    </w:p>
    <w:p>
      <w:pPr>
        <w:numPr>
          <w:ilvl w:val="0"/>
          <w:numId w:val="2"/>
        </w:numPr>
        <w:spacing w:lineRule="auto"/>
      </w:pPr>
      <w:r>
        <w:rPr>
          <w:b/>
        </w:rPr>
        <w:t xml:space="preserve">Long-Term Institutional (non-ETF):</w:t>
      </w:r>
      <w:r>
        <w:rPr/>
        <w:t xml:space="preserve"> ($67 billion) net outflow, a $141 billion swing reflecting a single large index redemption and institutional reallocation dynamics[2]</w:t>
      </w:r>
    </w:p>
    <w:p>
      <w:pPr>
        <w:spacing w:after="210" w:lineRule="auto"/>
      </w:pPr>
      <w:r>
        <w:rPr>
          <w:rFonts w:eastAsia="Georgia" w:cs="Georgia" w:ascii="Georgia" w:hAnsi="Georgia"/>
        </w:rPr>
        <w:t xml:space="preserve">Q4 2025 alone accounted for $342 billion in net inflows — nearly 49% of full-year flows — and represented annualized organic AUM growth of 8.6%, well above the firm's 3%–5% annual target. ETF inflows alone were $181 billion in Q4 2025, equating to a 13.9% annualized organic AUM growth rate from that segment.[5][2]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revenue_profitability_deep_dive"/>
      <w:r>
        <w:rPr>
          <w:b/>
          <w:sz w:val="42"/>
        </w:rPr>
        <w:t xml:space="preserve">Revenue &amp; Profitability Deep Dive</w:t>
      </w:r>
      <w:bookmarkEnd w:id="7"/>
    </w:p>
    <w:p>
      <w:pPr>
        <w:spacing w:line="271" w:before="240" w:lineRule="auto"/>
      </w:pPr>
      <w:bookmarkStart w:id="8" w:name="revenue"/>
      <w:r>
        <w:rPr>
          <w:b/>
          <w:sz w:val="33"/>
        </w:rPr>
        <w:t xml:space="preserve">Revenue</w:t>
      </w:r>
      <w:bookmarkEnd w:id="8"/>
    </w:p>
    <w:p>
      <w:pPr>
        <w:spacing w:after="210" w:lineRule="auto"/>
      </w:pPr>
      <w:r>
        <w:rPr/>
        <w:t xml:space="preserve">BlackRock's revenue structure is heavily base-fee-driven, tied to average AUM levels. The flat revenue in FY2023 (</w:t>
      </w:r>
      <w:hyperlink r:id="rId46">
        <w:r>
          <w:rPr>
            <w:color w:val="4472C4"/>
          </w:rPr>
          <w:t xml:space="preserve">$17.86B</w:t>
        </w:r>
      </w:hyperlink>
      <w:r>
        <w:rPr/>
        <w:t xml:space="preserve"> vs. </w:t>
      </w:r>
      <w:hyperlink r:id="rId47">
        <w:r>
          <w:rPr>
            <w:color w:val="4472C4"/>
          </w:rPr>
          <w:t xml:space="preserve">$17.87B</w:t>
        </w:r>
      </w:hyperlink>
      <w:r>
        <w:rPr/>
        <w:t xml:space="preserve"> in FY2022) was the direct consequence of lower average AUM throughout 2023 despite the year-end recovery. The 14.3% revenue surge in FY2024 captured the dual benefit of GIP-related fees and strong organic growth. FY2025's 18.7% revenue growth to </w:t>
      </w:r>
      <w:hyperlink r:id="rId48">
        <w:r>
          <w:rPr>
            <w:color w:val="4472C4"/>
          </w:rPr>
          <w:t xml:space="preserve">$24.22B</w:t>
        </w:r>
      </w:hyperlink>
      <w:r>
        <w:rPr>
          <w:rFonts w:eastAsia="Georgia" w:cs="Georgia" w:ascii="Georgia" w:hAnsi="Georgia"/>
        </w:rPr>
        <w:t xml:space="preserve"> was driven by continued ETF dominance, private markets fees from GIP and HPS, and technology services (Aladdin) contract value growth of ~16%.[16][18][13][1][8][6]</w:t>
      </w:r>
    </w:p>
    <w:p>
      <w:pPr>
        <w:spacing w:after="210" w:lineRule="auto"/>
      </w:pPr>
      <w:r>
        <w:rPr/>
        <w:t xml:space="preserve">Q4 2025 quarterly revenue of </w:t>
      </w:r>
      <w:hyperlink r:id="rId49">
        <w:r>
          <w:rPr>
            <w:color w:val="4472C4"/>
          </w:rPr>
          <w:t xml:space="preserve">$7.01B</w:t>
        </w:r>
      </w:hyperlink>
      <w:r>
        <w:rPr/>
        <w:t xml:space="preserve"> grew </w:t>
      </w:r>
      <w:hyperlink r:id="rId50">
        <w:r>
          <w:rPr>
            <w:color w:val="4472C4"/>
          </w:rPr>
          <w:t xml:space="preserve">23.4%</w:t>
        </w:r>
      </w:hyperlink>
      <w:r>
        <w:rPr/>
        <w:t xml:space="preserve"> year-over-year, reflecting the full consolidation of HPS and strong fourth-quarter flows.[12][13]</w:t>
      </w:r>
    </w:p>
    <w:p>
      <w:pPr>
        <w:spacing w:line="271" w:before="240" w:lineRule="auto"/>
      </w:pPr>
      <w:bookmarkStart w:id="9" w:name="operating_income_margins"/>
      <w:r>
        <w:rPr>
          <w:b/>
          <w:sz w:val="33"/>
        </w:rPr>
        <w:t xml:space="preserve">Operating Income &amp; Margins</w:t>
      </w:r>
      <w:bookmarkEnd w:id="9"/>
    </w:p>
    <w:p>
      <w:pPr>
        <w:spacing w:after="210" w:lineRule="auto"/>
      </w:pPr>
      <w:r>
        <w:rPr/>
        <w:t xml:space="preserve">The GAAP vs. adjusted operating income divergence in FY2025 is the critical nuance in reading the income statement. GAAP operating income fell to </w:t>
      </w:r>
      <w:hyperlink r:id="rId51">
        <w:r>
          <w:rPr>
            <w:color w:val="4472C4"/>
          </w:rPr>
          <w:t xml:space="preserve">$7.05B</w:t>
        </w:r>
      </w:hyperlink>
      <w:r>
        <w:rPr/>
        <w:t xml:space="preserve">, implying a margin of </w:t>
      </w:r>
      <w:hyperlink r:id="rId52">
        <w:r>
          <w:rPr>
            <w:color w:val="4472C4"/>
          </w:rPr>
          <w:t xml:space="preserve">29.1%</w:t>
        </w:r>
      </w:hyperlink>
      <w:r>
        <w:rPr>
          <w:rFonts w:eastAsia="Georgia" w:cs="Georgia" w:ascii="Georgia" w:hAnsi="Georgia"/>
        </w:rPr>
        <w:t xml:space="preserve"> — a 800 bps contraction from FY2024's </w:t>
      </w:r>
      <w:hyperlink r:id="rId53">
        <w:r>
          <w:rPr>
            <w:color w:val="4472C4"/>
          </w:rPr>
          <w:t xml:space="preserve">37.1%</w:t>
        </w:r>
      </w:hyperlink>
      <w:r>
        <w:rPr/>
        <w:t xml:space="preserve">. However, this compression was almost entirely driven by noncash acquisition-related charges (intangible amortization from GIP, HPS, and related deals), which management excludes from adjusted results.[16][1]</w:t>
      </w:r>
    </w:p>
    <w:p>
      <w:pPr>
        <w:spacing w:after="210" w:lineRule="auto"/>
      </w:pPr>
      <w:r>
        <w:rPr/>
        <w:t xml:space="preserve">On an adjusted basis, operating income reached </w:t>
      </w:r>
      <w:hyperlink r:id="rId54">
        <w:r>
          <w:rPr>
            <w:color w:val="4472C4"/>
          </w:rPr>
          <w:t xml:space="preserve">$9.60B</w:t>
        </w:r>
      </w:hyperlink>
      <w:r>
        <w:rPr/>
        <w:t xml:space="preserve"> in FY2025 with an adjusted EBIT margin of </w:t>
      </w:r>
      <w:hyperlink r:id="rId55">
        <w:r>
          <w:rPr>
            <w:color w:val="4472C4"/>
          </w:rPr>
          <w:t xml:space="preserve">44.1%</w:t>
        </w:r>
      </w:hyperlink>
      <w:r>
        <w:rPr>
          <w:rFonts w:eastAsia="Georgia" w:cs="Georgia" w:ascii="Georgia" w:hAnsi="Georgia"/>
        </w:rPr>
        <w:t xml:space="preserve"> — remarkably stable relative to FY2024's </w:t>
      </w:r>
      <w:hyperlink r:id="rId56">
        <w:r>
          <w:rPr>
            <w:color w:val="4472C4"/>
          </w:rPr>
          <w:t xml:space="preserve">44.5%</w:t>
        </w:r>
      </w:hyperlink>
      <w:r>
        <w:rPr/>
        <w:t xml:space="preserve"> and well above FY2022's </w:t>
      </w:r>
      <w:hyperlink r:id="rId57">
        <w:r>
          <w:rPr>
            <w:color w:val="4472C4"/>
          </w:rPr>
          <w:t xml:space="preserve">42.8%</w:t>
        </w:r>
      </w:hyperlink>
      <w:r>
        <w:rPr/>
        <w:t xml:space="preserve">. Q4 2025 adjusted operating income of $2.85 billion represented a 22.4% increase from the prior-year quarter, with adjusted operating margin expanding to approximately 45%.[8][5][12]</w:t>
      </w:r>
    </w:p>
    <w:p>
      <w:pPr>
        <w:spacing w:line="271" w:before="240" w:lineRule="auto"/>
      </w:pPr>
      <w:bookmarkStart w:id="10" w:name="adjusted_eps"/>
      <w:r>
        <w:rPr>
          <w:b/>
          <w:sz w:val="33"/>
        </w:rPr>
        <w:t xml:space="preserve">Adjusted EPS</w:t>
      </w:r>
      <w:bookmarkEnd w:id="10"/>
    </w:p>
    <w:p>
      <w:pPr>
        <w:spacing w:after="210" w:lineRule="auto"/>
      </w:pPr>
      <w:r>
        <w:rPr/>
        <w:t xml:space="preserve">Adjusted EPS has compounded at a steady rate across the four-year period despite the volatile GAAP earnings line: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Period</w:t>
            </w:r>
          </w:p>
        </w:tc>
        <w:tc>
          <w:tcPr>
            <w:tcBorders>
              <w:top w:val="single" w:sz="1" w:space="0" w:color="000000"/>
              <w:left w:val="single" w:sz="1" w:space="0" w:color="000000"/>
              <w:bottom w:val="single" w:sz="1" w:space="0" w:color="000000"/>
            </w:tcBorders>
          </w:tcPr>
          <w:p>
            <w:pPr>
              <w:spacing w:lineRule="auto"/>
            </w:pPr>
            <w:r>
              <w:rPr/>
              <w:t xml:space="preserve">Adj. EPS</w:t>
            </w:r>
          </w:p>
        </w:tc>
        <w:tc>
          <w:tcPr>
            <w:tcBorders>
              <w:top w:val="single" w:sz="1" w:space="0" w:color="000000"/>
              <w:left w:val="single" w:sz="1" w:space="0" w:color="000000"/>
              <w:bottom w:val="single" w:sz="1" w:space="0" w:color="000000"/>
            </w:tcBorders>
          </w:tcPr>
          <w:p>
            <w:pPr>
              <w:spacing w:lineRule="auto"/>
            </w:pPr>
            <w:r>
              <w:rPr/>
              <w:t xml:space="preserve">YoY Change</w:t>
            </w:r>
          </w:p>
        </w:tc>
      </w:tr>
      <w:tr>
        <w:trPr>
          <w:cantSplit/>
        </w:trPr>
        <w:tc>
          <w:tcPr>
            <w:tcBorders>
              <w:top w:val="single" w:sz="1" w:space="0" w:color="000000"/>
              <w:bottom w:val="single" w:sz="1" w:space="0" w:color="000000"/>
            </w:tcBorders>
          </w:tcPr>
          <w:p>
            <w:pPr>
              <w:spacing w:lineRule="auto"/>
            </w:pPr>
            <w:r>
              <w:rPr/>
              <w:t xml:space="preserve">FY2022</w:t>
            </w:r>
          </w:p>
        </w:tc>
        <w:tc>
          <w:tcPr>
            <w:tcBorders>
              <w:top w:val="single" w:sz="1" w:space="0" w:color="000000"/>
              <w:left w:val="single" w:sz="1" w:space="0" w:color="000000"/>
              <w:bottom w:val="single" w:sz="1" w:space="0" w:color="000000"/>
            </w:tcBorders>
          </w:tcPr>
          <w:p>
            <w:pPr>
              <w:spacing w:lineRule="auto"/>
            </w:pPr>
            <w:hyperlink r:id="rId58">
              <w:r>
                <w:rPr>
                  <w:color w:val="4472C4"/>
                </w:rPr>
                <w:t xml:space="preserve">$35.36</w:t>
              </w:r>
            </w:hyperlink>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r>
        <w:trPr>
          <w:cantSplit/>
        </w:trPr>
        <w:tc>
          <w:tcPr>
            <w:tcBorders>
              <w:top w:val="single" w:sz="1" w:space="0" w:color="000000"/>
              <w:bottom w:val="single" w:sz="1" w:space="0" w:color="000000"/>
            </w:tcBorders>
          </w:tcPr>
          <w:p>
            <w:pPr>
              <w:spacing w:lineRule="auto"/>
            </w:pPr>
            <w:r>
              <w:rPr/>
              <w:t xml:space="preserve">FY2023</w:t>
            </w:r>
          </w:p>
        </w:tc>
        <w:tc>
          <w:tcPr>
            <w:tcBorders>
              <w:top w:val="single" w:sz="1" w:space="0" w:color="000000"/>
              <w:left w:val="single" w:sz="1" w:space="0" w:color="000000"/>
              <w:bottom w:val="single" w:sz="1" w:space="0" w:color="000000"/>
            </w:tcBorders>
          </w:tcPr>
          <w:p>
            <w:pPr>
              <w:spacing w:lineRule="auto"/>
            </w:pPr>
            <w:hyperlink r:id="rId59">
              <w:r>
                <w:rPr>
                  <w:color w:val="4472C4"/>
                </w:rPr>
                <w:t xml:space="preserve">$37.77</w:t>
              </w:r>
            </w:hyperlink>
          </w:p>
        </w:tc>
        <w:tc>
          <w:tcPr>
            <w:tcBorders>
              <w:top w:val="single" w:sz="1" w:space="0" w:color="000000"/>
              <w:left w:val="single" w:sz="1" w:space="0" w:color="000000"/>
              <w:bottom w:val="single" w:sz="1" w:space="0" w:color="000000"/>
            </w:tcBorders>
          </w:tcPr>
          <w:p>
            <w:pPr>
              <w:spacing w:lineRule="auto"/>
            </w:pPr>
            <w:r>
              <w:rPr/>
              <w:t xml:space="preserve">+6.8%</w:t>
            </w:r>
          </w:p>
        </w:tc>
      </w:tr>
      <w:tr>
        <w:trPr>
          <w:cantSplit/>
        </w:trPr>
        <w:tc>
          <w:tcPr>
            <w:tcBorders>
              <w:top w:val="single" w:sz="1" w:space="0" w:color="000000"/>
              <w:bottom w:val="single" w:sz="1" w:space="0" w:color="000000"/>
            </w:tcBorders>
          </w:tcPr>
          <w:p>
            <w:pPr>
              <w:spacing w:lineRule="auto"/>
            </w:pPr>
            <w:r>
              <w:rPr/>
              <w:t xml:space="preserve">FY2024</w:t>
            </w:r>
          </w:p>
        </w:tc>
        <w:tc>
          <w:tcPr>
            <w:tcBorders>
              <w:top w:val="single" w:sz="1" w:space="0" w:color="000000"/>
              <w:left w:val="single" w:sz="1" w:space="0" w:color="000000"/>
              <w:bottom w:val="single" w:sz="1" w:space="0" w:color="000000"/>
            </w:tcBorders>
          </w:tcPr>
          <w:p>
            <w:pPr>
              <w:spacing w:lineRule="auto"/>
            </w:pPr>
            <w:hyperlink r:id="rId60">
              <w:r>
                <w:rPr>
                  <w:color w:val="4472C4"/>
                </w:rPr>
                <w:t xml:space="preserve">$43.61</w:t>
              </w:r>
            </w:hyperlink>
          </w:p>
        </w:tc>
        <w:tc>
          <w:tcPr>
            <w:tcBorders>
              <w:top w:val="single" w:sz="1" w:space="0" w:color="000000"/>
              <w:left w:val="single" w:sz="1" w:space="0" w:color="000000"/>
              <w:bottom w:val="single" w:sz="1" w:space="0" w:color="000000"/>
            </w:tcBorders>
          </w:tcPr>
          <w:p>
            <w:pPr>
              <w:spacing w:lineRule="auto"/>
            </w:pPr>
            <w:r>
              <w:rPr/>
              <w:t xml:space="preserve">+15.5%[8]</w:t>
            </w:r>
          </w:p>
        </w:tc>
      </w:tr>
      <w:tr>
        <w:trPr>
          <w:cantSplit/>
        </w:trPr>
        <w:tc>
          <w:tcPr>
            <w:tcBorders>
              <w:top w:val="single" w:sz="1" w:space="0" w:color="000000"/>
              <w:bottom w:val="single" w:sz="1" w:space="0" w:color="000000"/>
            </w:tcBorders>
          </w:tcPr>
          <w:p>
            <w:pPr>
              <w:spacing w:lineRule="auto"/>
            </w:pPr>
            <w:r>
              <w:rPr/>
              <w:t xml:space="preserve">FY2025</w:t>
            </w:r>
          </w:p>
        </w:tc>
        <w:tc>
          <w:tcPr>
            <w:tcBorders>
              <w:top w:val="single" w:sz="1" w:space="0" w:color="000000"/>
              <w:left w:val="single" w:sz="1" w:space="0" w:color="000000"/>
              <w:bottom w:val="single" w:sz="1" w:space="0" w:color="000000"/>
            </w:tcBorders>
          </w:tcPr>
          <w:p>
            <w:pPr>
              <w:spacing w:lineRule="auto"/>
            </w:pPr>
            <w:hyperlink r:id="rId61">
              <w:r>
                <w:rPr>
                  <w:color w:val="4472C4"/>
                </w:rPr>
                <w:t xml:space="preserve">$48.09</w:t>
              </w:r>
            </w:hyperlink>
          </w:p>
        </w:tc>
        <w:tc>
          <w:tcPr>
            <w:tcBorders>
              <w:top w:val="single" w:sz="1" w:space="0" w:color="000000"/>
              <w:left w:val="single" w:sz="1" w:space="0" w:color="000000"/>
              <w:bottom w:val="single" w:sz="1" w:space="0" w:color="000000"/>
            </w:tcBorders>
          </w:tcPr>
          <w:p>
            <w:pPr>
              <w:spacing w:lineRule="auto"/>
            </w:pPr>
            <w:r>
              <w:rPr/>
              <w:t xml:space="preserve">+10.3%[2]</w:t>
            </w:r>
          </w:p>
        </w:tc>
      </w:tr>
    </w:tbl>
    <w:p>
      <w:pPr>
        <w:spacing w:lineRule="auto"/>
      </w:pPr>
    </w:p>
    <w:p>
      <w:pPr>
        <w:spacing w:after="210" w:lineRule="auto"/>
      </w:pPr>
      <w:r>
        <w:rPr>
          <w:rFonts w:eastAsia="Georgia" w:cs="Georgia" w:ascii="Georgia" w:hAnsi="Georgia"/>
        </w:rPr>
        <w:t xml:space="preserve">FY2025 adjusted EPS of $48.09 beat the Street consensus of $47.35 by $0.74. The more moderate 10.3% growth in FY2025 versus 15.5% in FY2024 reflects a higher effective tax rate, increased diluted share count following HPS-related equity issuance, and higher nonoperating costs — even as operating income grew strongly.[13][3][16]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strategic_acquisitions_the_struct_9736e1"/>
      <w:r>
        <w:rPr>
          <w:b/>
          <w:sz w:val="42"/>
        </w:rPr>
        <w:t xml:space="preserve">Strategic Acquisitions: The Structural Shift</w:t>
      </w:r>
      <w:bookmarkEnd w:id="11"/>
    </w:p>
    <w:p>
      <w:pPr>
        <w:spacing w:after="210" w:lineRule="auto"/>
      </w:pPr>
      <w:r>
        <w:rPr/>
        <w:t xml:space="preserve">The financial profile across these four years cannot be fully interpreted without accounting for BlackRock's deliberate transformation from a predominantly public-markets manager into a diversified alternatives powerhouse:</w:t>
      </w:r>
    </w:p>
    <w:p>
      <w:pPr>
        <w:numPr>
          <w:ilvl w:val="0"/>
          <w:numId w:val="3"/>
        </w:numPr>
        <w:spacing w:lineRule="auto"/>
      </w:pPr>
      <w:r>
        <w:rPr>
          <w:b/>
        </w:rPr>
        <w:t xml:space="preserve">Global Infrastructure Partners (GIP):</w:t>
      </w:r>
      <w:r>
        <w:rPr>
          <w:rFonts w:eastAsia="Georgia" w:cs="Georgia" w:ascii="Georgia" w:hAnsi="Georgia"/>
        </w:rPr>
        <w:t xml:space="preserve"> Announced January 2024, closed October 2024. Added $150B+ in infrastructure AUM, ~$230M/quarter in incremental fees, and created what management describes as a "world-leading infrastructure investment platform".[15][8]</w:t>
      </w:r>
    </w:p>
    <w:p>
      <w:pPr>
        <w:numPr>
          <w:ilvl w:val="0"/>
          <w:numId w:val="3"/>
        </w:numPr>
        <w:spacing w:lineRule="auto"/>
      </w:pPr>
      <w:r>
        <w:rPr>
          <w:b/>
        </w:rPr>
        <w:t xml:space="preserve">HPS Investment Partners:</w:t>
      </w:r>
      <w:r>
        <w:rPr>
          <w:rFonts w:eastAsia="Georgia" w:cs="Georgia" w:ascii="Georgia" w:hAnsi="Georgia"/>
        </w:rPr>
        <w:t xml:space="preserve"> Announced December 2024, closed July 1, 2025. Added $165B in client AUM and $118B in fee-paying AUM, building an integrated private credit franchise of ~$220B pro forma.[16][8]</w:t>
      </w:r>
    </w:p>
    <w:p>
      <w:pPr>
        <w:numPr>
          <w:ilvl w:val="0"/>
          <w:numId w:val="3"/>
        </w:numPr>
        <w:spacing w:lineRule="auto"/>
      </w:pPr>
      <w:r>
        <w:rPr>
          <w:b/>
        </w:rPr>
        <w:t xml:space="preserve">Preqin:</w:t>
      </w:r>
      <w:r>
        <w:rPr>
          <w:rFonts w:eastAsia="Georgia" w:cs="Georgia" w:ascii="Georgia" w:hAnsi="Georgia"/>
        </w:rPr>
        <w:t xml:space="preserve"> Announced alongside HPS, the ~$3.2B acquisition of the private markets data provider aims to enhance Aladdin's data and analytics capabilities.[15]</w:t>
      </w:r>
    </w:p>
    <w:p>
      <w:pPr>
        <w:spacing w:after="210" w:lineRule="auto"/>
      </w:pPr>
      <w:r>
        <w:rPr/>
        <w:t xml:space="preserve">These acquisitions drove the elevated GAAP cost structure in FY2025 (hence the GAAP vs. adjusted operating income gap) but are expected to be materially accretive to adjusted EPS on a full-run-rate basis. Management noted the full benefit was not yet visible in FY2025 earnings given partial-year consolidation.[11][8]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cash_flow_capital_return"/>
      <w:r>
        <w:rPr>
          <w:b/>
          <w:sz w:val="42"/>
        </w:rPr>
        <w:t xml:space="preserve">Cash Flow &amp; Capital Return</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FY2022</w:t>
            </w:r>
          </w:p>
        </w:tc>
        <w:tc>
          <w:tcPr>
            <w:tcBorders>
              <w:top w:val="single" w:sz="1" w:space="0" w:color="000000"/>
              <w:left w:val="single" w:sz="1" w:space="0" w:color="000000"/>
              <w:bottom w:val="single" w:sz="1" w:space="0" w:color="000000"/>
            </w:tcBorders>
          </w:tcPr>
          <w:p>
            <w:pPr>
              <w:spacing w:lineRule="auto"/>
            </w:pPr>
            <w:r>
              <w:rPr/>
              <w:t xml:space="preserve">FY2023</w:t>
            </w:r>
          </w:p>
        </w:tc>
        <w:tc>
          <w:tcPr>
            <w:tcBorders>
              <w:top w:val="single" w:sz="1" w:space="0" w:color="000000"/>
              <w:left w:val="single" w:sz="1" w:space="0" w:color="000000"/>
              <w:bottom w:val="single" w:sz="1" w:space="0" w:color="000000"/>
            </w:tcBorders>
          </w:tcPr>
          <w:p>
            <w:pPr>
              <w:spacing w:lineRule="auto"/>
            </w:pPr>
            <w:r>
              <w:rPr/>
              <w:t xml:space="preserve">FY2024</w:t>
            </w:r>
          </w:p>
        </w:tc>
        <w:tc>
          <w:tcPr>
            <w:tcBorders>
              <w:top w:val="single" w:sz="1" w:space="0" w:color="000000"/>
              <w:left w:val="single" w:sz="1" w:space="0" w:color="000000"/>
              <w:bottom w:val="single" w:sz="1" w:space="0" w:color="000000"/>
            </w:tcBorders>
          </w:tcPr>
          <w:p>
            <w:pPr>
              <w:spacing w:lineRule="auto"/>
            </w:pPr>
            <w:r>
              <w:rPr/>
              <w:t xml:space="preserve">FY2025</w:t>
            </w:r>
          </w:p>
        </w:tc>
      </w:tr>
      <w:tr>
        <w:trPr>
          <w:cantSplit/>
        </w:trPr>
        <w:tc>
          <w:tcPr>
            <w:tcBorders>
              <w:top w:val="single" w:sz="1" w:space="0" w:color="000000"/>
              <w:bottom w:val="single" w:sz="1" w:space="0" w:color="000000"/>
            </w:tcBorders>
          </w:tcPr>
          <w:p>
            <w:pPr>
              <w:spacing w:lineRule="auto"/>
            </w:pPr>
            <w:r>
              <w:rPr/>
              <w:t xml:space="preserve">Operating Cash Flow</w:t>
            </w:r>
          </w:p>
        </w:tc>
        <w:tc>
          <w:tcPr>
            <w:tcBorders>
              <w:top w:val="single" w:sz="1" w:space="0" w:color="000000"/>
              <w:left w:val="single" w:sz="1" w:space="0" w:color="000000"/>
              <w:bottom w:val="single" w:sz="1" w:space="0" w:color="000000"/>
            </w:tcBorders>
          </w:tcPr>
          <w:p>
            <w:pPr>
              <w:spacing w:lineRule="auto"/>
            </w:pPr>
            <w:hyperlink r:id="rId62">
              <w:r>
                <w:rPr>
                  <w:color w:val="4472C4"/>
                </w:rPr>
                <w:t xml:space="preserve">$4.96B</w:t>
              </w:r>
            </w:hyperlink>
          </w:p>
        </w:tc>
        <w:tc>
          <w:tcPr>
            <w:tcBorders>
              <w:top w:val="single" w:sz="1" w:space="0" w:color="000000"/>
              <w:left w:val="single" w:sz="1" w:space="0" w:color="000000"/>
              <w:bottom w:val="single" w:sz="1" w:space="0" w:color="000000"/>
            </w:tcBorders>
          </w:tcPr>
          <w:p>
            <w:pPr>
              <w:spacing w:lineRule="auto"/>
            </w:pPr>
            <w:hyperlink r:id="rId63">
              <w:r>
                <w:rPr>
                  <w:color w:val="4472C4"/>
                </w:rPr>
                <w:t xml:space="preserve">$4.17B</w:t>
              </w:r>
            </w:hyperlink>
          </w:p>
        </w:tc>
        <w:tc>
          <w:tcPr>
            <w:tcBorders>
              <w:top w:val="single" w:sz="1" w:space="0" w:color="000000"/>
              <w:left w:val="single" w:sz="1" w:space="0" w:color="000000"/>
              <w:bottom w:val="single" w:sz="1" w:space="0" w:color="000000"/>
            </w:tcBorders>
          </w:tcPr>
          <w:p>
            <w:pPr>
              <w:spacing w:lineRule="auto"/>
            </w:pPr>
            <w:hyperlink r:id="rId64">
              <w:r>
                <w:rPr>
                  <w:color w:val="4472C4"/>
                </w:rPr>
                <w:t xml:space="preserve">$4.96B</w:t>
              </w:r>
            </w:hyperlink>
          </w:p>
        </w:tc>
        <w:tc>
          <w:tcPr>
            <w:tcBorders>
              <w:top w:val="single" w:sz="1" w:space="0" w:color="000000"/>
              <w:left w:val="single" w:sz="1" w:space="0" w:color="000000"/>
              <w:bottom w:val="single" w:sz="1" w:space="0" w:color="000000"/>
            </w:tcBorders>
          </w:tcPr>
          <w:p>
            <w:pPr>
              <w:spacing w:lineRule="auto"/>
            </w:pPr>
            <w:hyperlink r:id="rId65">
              <w:r>
                <w:rPr>
                  <w:color w:val="4472C4"/>
                </w:rPr>
                <w:t xml:space="preserve">$3.93B</w:t>
              </w:r>
            </w:hyperlink>
          </w:p>
        </w:tc>
      </w:tr>
      <w:tr>
        <w:trPr>
          <w:cantSplit/>
        </w:trPr>
        <w:tc>
          <w:tcPr>
            <w:tcBorders>
              <w:top w:val="single" w:sz="1" w:space="0" w:color="000000"/>
              <w:bottom w:val="single" w:sz="1" w:space="0" w:color="000000"/>
            </w:tcBorders>
          </w:tcPr>
          <w:p>
            <w:pPr>
              <w:spacing w:lineRule="auto"/>
            </w:pPr>
            <w:r>
              <w:rPr/>
              <w:t xml:space="preserve">Adj. Free Cash Flow</w:t>
            </w:r>
          </w:p>
        </w:tc>
        <w:tc>
          <w:tcPr>
            <w:tcBorders>
              <w:top w:val="single" w:sz="1" w:space="0" w:color="000000"/>
              <w:left w:val="single" w:sz="1" w:space="0" w:color="000000"/>
              <w:bottom w:val="single" w:sz="1" w:space="0" w:color="000000"/>
            </w:tcBorders>
          </w:tcPr>
          <w:p>
            <w:pPr>
              <w:spacing w:lineRule="auto"/>
            </w:pPr>
            <w:hyperlink r:id="rId66">
              <w:r>
                <w:rPr>
                  <w:color w:val="4472C4"/>
                </w:rPr>
                <w:t xml:space="preserve">$4.42B</w:t>
              </w:r>
            </w:hyperlink>
          </w:p>
        </w:tc>
        <w:tc>
          <w:tcPr>
            <w:tcBorders>
              <w:top w:val="single" w:sz="1" w:space="0" w:color="000000"/>
              <w:left w:val="single" w:sz="1" w:space="0" w:color="000000"/>
              <w:bottom w:val="single" w:sz="1" w:space="0" w:color="000000"/>
            </w:tcBorders>
          </w:tcPr>
          <w:p>
            <w:pPr>
              <w:spacing w:lineRule="auto"/>
            </w:pPr>
            <w:hyperlink r:id="rId67">
              <w:r>
                <w:rPr>
                  <w:color w:val="4472C4"/>
                </w:rPr>
                <w:t xml:space="preserve">$3.82B</w:t>
              </w:r>
            </w:hyperlink>
          </w:p>
        </w:tc>
        <w:tc>
          <w:tcPr>
            <w:tcBorders>
              <w:top w:val="single" w:sz="1" w:space="0" w:color="000000"/>
              <w:left w:val="single" w:sz="1" w:space="0" w:color="000000"/>
              <w:bottom w:val="single" w:sz="1" w:space="0" w:color="000000"/>
            </w:tcBorders>
          </w:tcPr>
          <w:p>
            <w:pPr>
              <w:spacing w:lineRule="auto"/>
            </w:pPr>
            <w:hyperlink r:id="rId68">
              <w:r>
                <w:rPr>
                  <w:color w:val="4472C4"/>
                </w:rPr>
                <w:t xml:space="preserve">$4.70B</w:t>
              </w:r>
            </w:hyperlink>
          </w:p>
        </w:tc>
        <w:tc>
          <w:tcPr>
            <w:tcBorders>
              <w:top w:val="single" w:sz="1" w:space="0" w:color="000000"/>
              <w:left w:val="single" w:sz="1" w:space="0" w:color="000000"/>
              <w:bottom w:val="single" w:sz="1" w:space="0" w:color="000000"/>
            </w:tcBorders>
          </w:tcPr>
          <w:p>
            <w:pPr>
              <w:spacing w:lineRule="auto"/>
            </w:pPr>
            <w:hyperlink r:id="rId69">
              <w:r>
                <w:rPr>
                  <w:color w:val="4472C4"/>
                </w:rPr>
                <w:t xml:space="preserve">$3.55B</w:t>
              </w:r>
            </w:hyperlink>
          </w:p>
        </w:tc>
      </w:tr>
      <w:tr>
        <w:trPr>
          <w:cantSplit/>
        </w:trPr>
        <w:tc>
          <w:tcPr>
            <w:tcBorders>
              <w:top w:val="single" w:sz="1" w:space="0" w:color="000000"/>
              <w:bottom w:val="single" w:sz="1" w:space="0" w:color="000000"/>
            </w:tcBorders>
          </w:tcPr>
          <w:p>
            <w:pPr>
              <w:spacing w:lineRule="auto"/>
            </w:pPr>
            <w:r>
              <w:rPr/>
              <w:t xml:space="preserve">Business Acquisitions (Cash)</w:t>
            </w:r>
          </w:p>
        </w:tc>
        <w:tc>
          <w:tcPr>
            <w:tcBorders>
              <w:top w:val="single" w:sz="1" w:space="0" w:color="000000"/>
              <w:left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($189M)</w:t>
            </w:r>
          </w:p>
        </w:tc>
        <w:tc>
          <w:tcPr>
            <w:tcBorders>
              <w:top w:val="single" w:sz="1" w:space="0" w:color="000000"/>
              <w:left w:val="single" w:sz="1" w:space="0" w:color="000000"/>
              <w:bottom w:val="single" w:sz="1" w:space="0" w:color="000000"/>
            </w:tcBorders>
          </w:tcPr>
          <w:p>
            <w:pPr>
              <w:spacing w:lineRule="auto"/>
            </w:pPr>
            <w:r>
              <w:rPr/>
              <w:t xml:space="preserve">($2.94B)</w:t>
            </w:r>
          </w:p>
        </w:tc>
        <w:tc>
          <w:tcPr>
            <w:tcBorders>
              <w:top w:val="single" w:sz="1" w:space="0" w:color="000000"/>
              <w:left w:val="single" w:sz="1" w:space="0" w:color="000000"/>
              <w:bottom w:val="single" w:sz="1" w:space="0" w:color="000000"/>
            </w:tcBorders>
          </w:tcPr>
          <w:p>
            <w:pPr>
              <w:spacing w:lineRule="auto"/>
            </w:pPr>
            <w:r>
              <w:rPr/>
              <w:t xml:space="preserve">($3.50B)</w:t>
            </w:r>
          </w:p>
        </w:tc>
      </w:tr>
      <w:tr>
        <w:trPr>
          <w:cantSplit/>
        </w:trPr>
        <w:tc>
          <w:tcPr>
            <w:tcBorders>
              <w:top w:val="single" w:sz="1" w:space="0" w:color="000000"/>
              <w:bottom w:val="single" w:sz="1" w:space="0" w:color="000000"/>
            </w:tcBorders>
          </w:tcPr>
          <w:p>
            <w:pPr>
              <w:spacing w:lineRule="auto"/>
            </w:pPr>
            <w:r>
              <w:rPr/>
              <w:t xml:space="preserve">Dividends Paid</w:t>
            </w:r>
          </w:p>
        </w:tc>
        <w:tc>
          <w:tcPr>
            <w:tcBorders>
              <w:top w:val="single" w:sz="1" w:space="0" w:color="000000"/>
              <w:left w:val="single" w:sz="1" w:space="0" w:color="000000"/>
              <w:bottom w:val="single" w:sz="1" w:space="0" w:color="000000"/>
            </w:tcBorders>
          </w:tcPr>
          <w:p>
            <w:pPr>
              <w:spacing w:lineRule="auto"/>
            </w:pPr>
            <w:r>
              <w:rPr/>
              <w:t xml:space="preserve">($2.99B)</w:t>
            </w:r>
          </w:p>
        </w:tc>
        <w:tc>
          <w:tcPr>
            <w:tcBorders>
              <w:top w:val="single" w:sz="1" w:space="0" w:color="000000"/>
              <w:left w:val="single" w:sz="1" w:space="0" w:color="000000"/>
              <w:bottom w:val="single" w:sz="1" w:space="0" w:color="000000"/>
            </w:tcBorders>
          </w:tcPr>
          <w:p>
            <w:pPr>
              <w:spacing w:lineRule="auto"/>
            </w:pPr>
            <w:r>
              <w:rPr/>
              <w:t xml:space="preserve">($3.04B)</w:t>
            </w:r>
          </w:p>
        </w:tc>
        <w:tc>
          <w:tcPr>
            <w:tcBorders>
              <w:top w:val="single" w:sz="1" w:space="0" w:color="000000"/>
              <w:left w:val="single" w:sz="1" w:space="0" w:color="000000"/>
              <w:bottom w:val="single" w:sz="1" w:space="0" w:color="000000"/>
            </w:tcBorders>
          </w:tcPr>
          <w:p>
            <w:pPr>
              <w:spacing w:lineRule="auto"/>
            </w:pPr>
            <w:r>
              <w:rPr/>
              <w:t xml:space="preserve">($3.10B)</w:t>
            </w:r>
          </w:p>
        </w:tc>
        <w:tc>
          <w:tcPr>
            <w:tcBorders>
              <w:top w:val="single" w:sz="1" w:space="0" w:color="000000"/>
              <w:left w:val="single" w:sz="1" w:space="0" w:color="000000"/>
              <w:bottom w:val="single" w:sz="1" w:space="0" w:color="000000"/>
            </w:tcBorders>
          </w:tcPr>
          <w:p>
            <w:pPr>
              <w:spacing w:lineRule="auto"/>
            </w:pPr>
            <w:r>
              <w:rPr/>
              <w:t xml:space="preserve">($3.35B)</w:t>
            </w:r>
          </w:p>
        </w:tc>
      </w:tr>
    </w:tbl>
    <w:p>
      <w:pPr>
        <w:spacing w:lineRule="auto"/>
      </w:pPr>
    </w:p>
    <w:p>
      <w:pPr>
        <w:spacing w:after="210" w:lineRule="auto"/>
        <w:ind w:left="630"/>
      </w:pPr>
      <w:r>
        <w:rPr>
          <w:color w:val="666666"/>
        </w:rPr>
        <w:t xml:space="preserve">Operating cash flow figures from cash flow statement; adjusted FCF from adjusted metrics file.</w:t>
      </w:r>
    </w:p>
    <w:p>
      <w:pPr>
        <w:spacing w:after="210" w:lineRule="auto"/>
      </w:pPr>
      <w:r>
        <w:rPr/>
        <w:t xml:space="preserve">BlackRock returned $4.7 billion to shareholders in FY2024 (including $1.6 billion of share repurchases), and the company announced a 10% dividend increase following Q4 2025 results alongside $1.8 billion in planned share repurchases for 2026. The step-down in FY2025 adjusted FCF to </w:t>
      </w:r>
      <w:hyperlink r:id="rId70">
        <w:r>
          <w:rPr>
            <w:color w:val="4472C4"/>
          </w:rPr>
          <w:t xml:space="preserve">$3.55B</w:t>
        </w:r>
      </w:hyperlink>
      <w:r>
        <w:rPr/>
        <w:t xml:space="preserve"> reflects meaningful acquisition-related cash outflows, partially offset by strong operating earnings.[13][8][2]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key_observations_investment_consi_4f622e"/>
      <w:r>
        <w:rPr>
          <w:b/>
          <w:sz w:val="42"/>
        </w:rPr>
        <w:t xml:space="preserve">Key Observations &amp; Investment Considerations</w:t>
      </w:r>
      <w:bookmarkEnd w:id="13"/>
    </w:p>
    <w:p>
      <w:pPr>
        <w:spacing w:after="210" w:lineRule="auto"/>
      </w:pPr>
      <w:r>
        <w:rPr>
          <w:b/>
        </w:rPr>
        <w:t xml:space="preserve">Organic growth consistently outperforms peers.</w:t>
      </w:r>
      <w:r>
        <w:rPr>
          <w:rFonts w:eastAsia="Georgia" w:cs="Georgia" w:ascii="Georgia" w:hAnsi="Georgia"/>
        </w:rPr>
        <w:t xml:space="preserve"> BlackRock's annualized organic AUM growth rate of 8.6% in Q4 2025 compares favorably to the 3%–5% long-term target and is expected to significantly exceed most traditional asset management peers. The iShares franchise — the world's leading ETF platform — generated a record $527B in 2025 net inflows and crossed $5 trillion in AUM during 2025.[19][5]</w:t>
      </w:r>
    </w:p>
    <w:p>
      <w:pPr>
        <w:spacing w:after="210" w:lineRule="auto"/>
      </w:pPr>
      <w:r>
        <w:rPr>
          <w:b/>
        </w:rPr>
        <w:t xml:space="preserve">Acquisition dilution is temporary and intentional.</w:t>
      </w:r>
      <w:r>
        <w:rPr/>
        <w:t xml:space="preserve"> The FY2025 GAAP-adjusted divergence (GAAP EPS of </w:t>
      </w:r>
      <w:hyperlink r:id="rId71">
        <w:r>
          <w:rPr>
            <w:color w:val="4472C4"/>
          </w:rPr>
          <w:t xml:space="preserve">$35.31</w:t>
        </w:r>
      </w:hyperlink>
      <w:r>
        <w:rPr/>
        <w:t xml:space="preserve"> vs. adjusted $48.09) reflects a deliberate capital allocation strategy to build out an alternatives platform. As GIP, HPS, and Preqin reach full run-rate contribution, both fee revenues and adjusted earnings should accelerate further.[8][16]</w:t>
      </w:r>
    </w:p>
    <w:p>
      <w:pPr>
        <w:spacing w:after="210" w:lineRule="auto"/>
      </w:pPr>
      <w:r>
        <w:rPr>
          <w:b/>
        </w:rPr>
        <w:t xml:space="preserve">Revenue mix is shifting toward higher-quality fees.</w:t>
      </w:r>
      <w:r>
        <w:rPr/>
        <w:t xml:space="preserve"> The expansion into private markets, infrastructure, and private credit creates fee revenue streams that are stickier (locked-up capital, multi-year mandates) and carry higher management fee rates than index products. This mix shift supports margin durability even as competitive pressure on ETF basis points continues.[1][15]</w:t>
      </w:r>
    </w:p>
    <w:p>
      <w:pPr>
        <w:spacing w:after="210" w:lineRule="auto"/>
      </w:pPr>
      <w:r>
        <w:rPr>
          <w:b/>
        </w:rPr>
        <w:t xml:space="preserve">AUM concentration risk.</w:t>
      </w:r>
      <w:r>
        <w:rPr/>
        <w:t xml:space="preserve"> With 49% of FY2025 net inflows concentrated in Q4 ($342B of $698B total), the quarterly pacing of flows is lumpier than annual figures suggest. A single large institutional redemption in Q2 2025 ($52B) highlights the concentration risk within institutional channels, even as retail and ETF flows proved resilient.[20][16][2]</w:t>
      </w:r>
    </w:p>
    <w:p>
      <w:pPr>
        <w:spacing w:after="210" w:lineRule="auto"/>
      </w:pPr>
      <w:r>
        <w:rPr>
          <w:b/>
        </w:rPr>
        <w:t xml:space="preserve">Current valuation context.</w:t>
      </w:r>
      <w:r>
        <w:rPr>
          <w:rFonts w:eastAsia="Georgia" w:cs="Georgia" w:ascii="Georgia" w:hAnsi="Georgia"/>
        </w:rPr>
        <w:t xml:space="preserve"> As of April 3, 2026, BLK trades at approximately $966.56 per share with a trailing P/E of approximately 27.4x on GAAP earnings and a market capitalization of approximately $150.3B. On adjusted FY2025 EPS of $48.09, the stock trades at approximately 20x adjusted earnings — a premium consistent with its scale, organic growth rate, and strategic optionality from the alternatives build-out.[12][8]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references"/>
      <w:r>
        <w:rPr>
          <w:b/>
          <w:sz w:val="42"/>
        </w:rPr>
        <w:t xml:space="preserve">References</w:t>
      </w:r>
      <w:bookmarkEnd w:id="14"/>
    </w:p>
    <w:p>
      <w:pPr>
        <w:numPr>
          <w:ilvl w:val="0"/>
          <w:numId w:val="4"/>
        </w:numPr>
        <w:spacing w:after="210" w:lineRule="auto"/>
      </w:pPr>
      <w:hyperlink r:id="rId72">
        <w:r>
          <w:rPr>
            <w:color w:val="4472C4"/>
          </w:rPr>
          <w:t xml:space="preserve">BlackRock lifts 2025 revenue and AUM to $14T | BLK Annual Report ...</w:t>
        </w:r>
      </w:hyperlink>
      <w:r>
        <w:rPr/>
        <w:t xml:space="preserve"> - Revenue rose to $24.2B and AUM hit $14.0T in 2025, as BlackRock drove strong ETF inflows, expanded a...</w:t>
      </w:r>
    </w:p>
    <w:p>
      <w:pPr>
        <w:numPr>
          <w:ilvl w:val="0"/>
          <w:numId w:val="4"/>
        </w:numPr>
        <w:spacing w:after="210" w:lineRule="auto"/>
      </w:pPr>
      <w:hyperlink r:id="rId73">
        <w:r>
          <w:rPr>
            <w:color w:val="4472C4"/>
          </w:rPr>
          <w:t xml:space="preserve">BlackRock Grows By $2.5 T - MFWire</w:t>
        </w:r>
      </w:hyperlink>
    </w:p>
    <w:p>
      <w:pPr>
        <w:numPr>
          <w:ilvl w:val="0"/>
          <w:numId w:val="4"/>
        </w:numPr>
        <w:spacing w:after="210" w:lineRule="auto"/>
      </w:pPr>
      <w:hyperlink r:id="rId74">
        <w:r>
          <w:rPr>
            <w:color w:val="4472C4"/>
          </w:rPr>
          <w:t xml:space="preserve">Reports Full Year 2025 Diluted EPS of $35.31, or $48.09 as adjusted</w:t>
        </w:r>
      </w:hyperlink>
      <w:r>
        <w:rPr/>
        <w:t xml:space="preserve"> - BlackRock : Reports Full Year 2025 Diluted EPS of $35.31, or $48.09 as adjusted ... Income Statement...</w:t>
      </w:r>
    </w:p>
    <w:p>
      <w:pPr>
        <w:numPr>
          <w:ilvl w:val="0"/>
          <w:numId w:val="4"/>
        </w:numPr>
        <w:spacing w:after="210" w:lineRule="auto"/>
      </w:pPr>
      <w:hyperlink r:id="rId75">
        <w:r>
          <w:rPr>
            <w:color w:val="4472C4"/>
          </w:rPr>
          <w:t xml:space="preserve">World 2nd Largest Asset Manager BlackRock AUM Falls to $8.59 Trillion in 2022 from $10 Trillion in 2021, Institutional AUM at $4.1 Trillion, $843 Billion in Retail, $2.9 Trillion ETFs &amp; $671 Billion Cash Mgmt | Caproasia</w:t>
        </w:r>
      </w:hyperlink>
      <w:r>
        <w:rPr/>
        <w:t xml:space="preserve"> - World 2nd Largest Asset Manager BlackRock AUM Falls to $8.59 Trillion in 2022 from $10 Trillion in 2...</w:t>
      </w:r>
    </w:p>
    <w:p>
      <w:pPr>
        <w:numPr>
          <w:ilvl w:val="0"/>
          <w:numId w:val="4"/>
        </w:numPr>
        <w:spacing w:after="210" w:lineRule="auto"/>
      </w:pPr>
      <w:hyperlink r:id="rId76">
        <w:r>
          <w:rPr>
            <w:color w:val="4472C4"/>
          </w:rPr>
          <w:t xml:space="preserve">BlackRock Earnings: Market Gains and Record Inflows Drive AUM ...</w:t>
        </w:r>
      </w:hyperlink>
      <w:r>
        <w:rPr/>
        <w:t xml:space="preserve"> - The firm picked up a record $181 billion in net long-term inflows, equivalent to a 13.9% annualized ...</w:t>
      </w:r>
    </w:p>
    <w:p>
      <w:pPr>
        <w:numPr>
          <w:ilvl w:val="0"/>
          <w:numId w:val="4"/>
        </w:numPr>
        <w:spacing w:after="210" w:lineRule="auto"/>
      </w:pPr>
      <w:hyperlink r:id="rId77">
        <w:r>
          <w:rPr>
            <w:color w:val="4472C4"/>
          </w:rPr>
          <w:t xml:space="preserve">BlackRock Reports Full Year 2023 Diluted EPS of $36.51, or $37.77 ...</w:t>
        </w:r>
      </w:hyperlink>
      <w:r>
        <w:rPr/>
        <w:t xml:space="preserve"> - BlackRock, Inc. (NYSE: BLK) today reported financial results for the three months and year ended Dec...</w:t>
      </w:r>
    </w:p>
    <w:p>
      <w:pPr>
        <w:numPr>
          <w:ilvl w:val="0"/>
          <w:numId w:val="4"/>
        </w:numPr>
        <w:spacing w:after="210" w:lineRule="auto"/>
      </w:pPr>
      <w:hyperlink r:id="rId78">
        <w:r>
          <w:rPr>
            <w:color w:val="4472C4"/>
          </w:rPr>
          <w:t xml:space="preserve">BlackRock Reports Full Year 2023 Diluted EPS of $36.51, or $37.77</w:t>
        </w:r>
      </w:hyperlink>
      <w:r>
        <w:rPr/>
        <w:t xml:space="preserve"> - $10 trillion in AUM following $289 billion of full year net inflows, including $96 billion in the fo...</w:t>
      </w:r>
    </w:p>
    <w:p>
      <w:pPr>
        <w:numPr>
          <w:ilvl w:val="0"/>
          <w:numId w:val="4"/>
        </w:numPr>
        <w:spacing w:after="210" w:lineRule="auto"/>
      </w:pPr>
      <w:hyperlink r:id="rId79">
        <w:r>
          <w:rPr>
            <w:color w:val="4472C4"/>
          </w:rPr>
          <w:t xml:space="preserve">BlackRock Reports Full Year 2024 Diluted EPS of $42.01, or $43.61 as Adjusted; Fourth Quarter 2024 Diluted EPS of $10.63, or $11.93 as Adjusted</w:t>
        </w:r>
      </w:hyperlink>
      <w:r>
        <w:rPr/>
        <w:t xml:space="preserve"> - BlackRock, Inc. (NYSE: BLK) today reported financial results for the three months and year ended Dec...</w:t>
      </w:r>
    </w:p>
    <w:p>
      <w:pPr>
        <w:numPr>
          <w:ilvl w:val="0"/>
          <w:numId w:val="4"/>
        </w:numPr>
        <w:spacing w:after="210" w:lineRule="auto"/>
      </w:pPr>
      <w:hyperlink r:id="rId80">
        <w:r>
          <w:rPr>
            <w:color w:val="4472C4"/>
          </w:rPr>
          <w:t xml:space="preserve">BlackRock Q4 Earnings: Record Inflows Fuel Revenue And ...</w:t>
        </w:r>
      </w:hyperlink>
      <w:r>
        <w:rPr/>
        <w:t xml:space="preserve"> - BlackRock stated that net inflow stood at $281 billion in the quarter and $641 billion in 2024. Tota...</w:t>
      </w:r>
    </w:p>
    <w:p>
      <w:pPr>
        <w:numPr>
          <w:ilvl w:val="0"/>
          <w:numId w:val="4"/>
        </w:numPr>
        <w:spacing w:after="210" w:lineRule="auto"/>
      </w:pPr>
      <w:hyperlink r:id="rId81">
        <w:r>
          <w:rPr>
            <w:color w:val="4472C4"/>
          </w:rPr>
          <w:t xml:space="preserve">BlackRock's assets hit record $14 trillion on fourth-quarter markets ...</w:t>
        </w:r>
      </w:hyperlink>
      <w:r>
        <w:rPr/>
        <w:t xml:space="preserve"> - Long-term net inflows totaled about $267.8 billion, led by continued strength in its ETF business, t...</w:t>
      </w:r>
    </w:p>
    <w:p>
      <w:pPr>
        <w:numPr>
          <w:ilvl w:val="0"/>
          <w:numId w:val="4"/>
        </w:numPr>
        <w:spacing w:after="210" w:lineRule="auto"/>
      </w:pPr>
      <w:hyperlink r:id="rId82">
        <w:r>
          <w:rPr>
            <w:color w:val="4472C4"/>
          </w:rPr>
          <w:t xml:space="preserve">BlackRock Reports Full Year 2025 Diluted EPS</w:t>
        </w:r>
      </w:hyperlink>
      <w:r>
        <w:rPr/>
        <w:t xml:space="preserve"> - $14 trillion in AUM following record $698 billion of full year net inflows, including $342 billion i...</w:t>
      </w:r>
    </w:p>
    <w:p>
      <w:pPr>
        <w:numPr>
          <w:ilvl w:val="0"/>
          <w:numId w:val="4"/>
        </w:numPr>
        <w:spacing w:after="210" w:lineRule="auto"/>
      </w:pPr>
      <w:hyperlink r:id="rId83">
        <w:r>
          <w:rPr>
            <w:color w:val="4472C4"/>
          </w:rPr>
          <w:t xml:space="preserve">BlackRock Q4 2025 slides: AUM hits $14 trillion, operating margin expands to 45%</w:t>
        </w:r>
      </w:hyperlink>
      <w:r>
        <w:rPr/>
        <w:t xml:space="preserve"> - Stay informed with the latest company news impacting today's major stock markets. Discover insights ...</w:t>
      </w:r>
    </w:p>
    <w:p>
      <w:pPr>
        <w:numPr>
          <w:ilvl w:val="0"/>
          <w:numId w:val="4"/>
        </w:numPr>
        <w:spacing w:after="210" w:lineRule="auto"/>
      </w:pPr>
      <w:hyperlink r:id="rId84">
        <w:r>
          <w:rPr>
            <w:color w:val="4472C4"/>
          </w:rPr>
          <w:t xml:space="preserve">Earnings call transcript: BlackRock's Q4 2025 beats expectations with strong revenue growth</w:t>
        </w:r>
      </w:hyperlink>
      <w:r>
        <w:rPr/>
        <w:t xml:space="preserve"> - Earnings call transcript: BlackRock's Q4 2025 beats expectations with strong revenue growth</w:t>
      </w:r>
    </w:p>
    <w:p>
      <w:pPr>
        <w:numPr>
          <w:ilvl w:val="0"/>
          <w:numId w:val="4"/>
        </w:numPr>
        <w:spacing w:after="210" w:lineRule="auto"/>
      </w:pPr>
      <w:hyperlink r:id="rId85">
        <w:r>
          <w:rPr>
            <w:color w:val="4472C4"/>
          </w:rPr>
          <w:t xml:space="preserve">BlackRock assets hit record $11.6 trillion in fourth quarter of 2024</w:t>
        </w:r>
      </w:hyperlink>
      <w:r>
        <w:rPr/>
        <w:t xml:space="preserve"> - BlackRock's assets hit a record high of $11.6 trillion in Q4 2024, boosting its profit by 21%. The a...</w:t>
      </w:r>
    </w:p>
    <w:p>
      <w:pPr>
        <w:numPr>
          <w:ilvl w:val="0"/>
          <w:numId w:val="4"/>
        </w:numPr>
        <w:spacing w:after="210" w:lineRule="auto"/>
      </w:pPr>
      <w:hyperlink r:id="rId86">
        <w:r>
          <w:rPr>
            <w:color w:val="4472C4"/>
          </w:rPr>
          <w:t xml:space="preserve">BlackRock Assets Hit Record $11.6T in Q4 '24 - Evening Brief</w:t>
        </w:r>
      </w:hyperlink>
      <w:r>
        <w:rPr/>
        <w:t xml:space="preserve"> - The company is strategically expanding into private markets, which account for only 3% of its massiv...</w:t>
      </w:r>
    </w:p>
    <w:p>
      <w:pPr>
        <w:numPr>
          <w:ilvl w:val="0"/>
          <w:numId w:val="4"/>
        </w:numPr>
        <w:spacing w:after="210" w:lineRule="auto"/>
      </w:pPr>
      <w:hyperlink r:id="rId87">
        <w:r>
          <w:rPr>
            <w:color w:val="4472C4"/>
          </w:rPr>
          <w:t xml:space="preserve">[PDF] BlackRock Reports Second Quarter 2025 Diluted EPS of $10.19, or ...</w:t>
        </w:r>
      </w:hyperlink>
      <w:r>
        <w:rPr/>
        <w:t xml:space="preserve"> - (1) Operating income, as adjusted, and operating margin, as adjusted: Management believes operating ...</w:t>
      </w:r>
    </w:p>
    <w:p>
      <w:pPr>
        <w:numPr>
          <w:ilvl w:val="0"/>
          <w:numId w:val="4"/>
        </w:numPr>
        <w:spacing w:after="210" w:lineRule="auto"/>
      </w:pPr>
      <w:hyperlink r:id="rId88">
        <w:r>
          <w:rPr>
            <w:color w:val="4472C4"/>
          </w:rPr>
          <w:t xml:space="preserve">BlackRock is the first asset manager to reach $14 trillion in AUM ... - X</w:t>
        </w:r>
      </w:hyperlink>
      <w:r>
        <w:rPr/>
        <w:t xml:space="preserve"> - ETF Dominance: iShares ETFs were a primary engine, capturing $181 billion in net inflows this quarte...</w:t>
      </w:r>
    </w:p>
    <w:p>
      <w:pPr>
        <w:numPr>
          <w:ilvl w:val="0"/>
          <w:numId w:val="4"/>
        </w:numPr>
        <w:spacing w:after="210" w:lineRule="auto"/>
      </w:pPr>
      <w:hyperlink r:id="rId89">
        <w:r>
          <w:rPr>
            <w:color w:val="4472C4"/>
          </w:rPr>
          <w:t xml:space="preserve">BlackRock Reports Full Year 2023 Diluted EPS of $36.51, or $37.77 as Adjusted</w:t>
        </w:r>
      </w:hyperlink>
      <w:r>
        <w:rPr/>
        <w:t xml:space="preserve"> - 12.01.2024 - BlackRock, Inc. (NYSE: BLK) today reported financial results for the three months and y...</w:t>
      </w:r>
    </w:p>
    <w:p>
      <w:pPr>
        <w:numPr>
          <w:ilvl w:val="0"/>
          <w:numId w:val="4"/>
        </w:numPr>
        <w:spacing w:after="210" w:lineRule="auto"/>
      </w:pPr>
      <w:hyperlink r:id="rId90">
        <w:r>
          <w:rPr>
            <w:color w:val="4472C4"/>
          </w:rPr>
          <w:t xml:space="preserve">BlackRock AUM Over $13 Trillion Sets New Record - 401k Specialist</w:t>
        </w:r>
      </w:hyperlink>
      <w:r>
        <w:rPr/>
        <w:t xml:space="preserve"> - BlackRock AUM tops $13 trillion for first time, as Q3 2025 earnings up 17% from a year ago thanks to...</w:t>
      </w:r>
    </w:p>
    <w:p>
      <w:pPr>
        <w:numPr>
          <w:ilvl w:val="0"/>
          <w:numId w:val="4"/>
        </w:numPr>
        <w:spacing w:after="210" w:lineRule="auto"/>
      </w:pPr>
      <w:hyperlink r:id="rId91">
        <w:r>
          <w:rPr>
            <w:color w:val="4472C4"/>
          </w:rPr>
          <w:t xml:space="preserve">BlackRock Inc (BLK) Q2 2025 Earnings: EPS of $10.19 Beats Estima</w:t>
        </w:r>
      </w:hyperlink>
      <w:r>
        <w:rPr/>
        <w:t xml:space="preserve"> - The company reported a diluted EPS of $10.19, exceeding the analyst estimate of $9.74. The adjusted ...</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pplx://action/claim?id=1" TargetMode="External"/><Relationship Id="rId6" Type="http://schemas.openxmlformats.org/officeDocument/2006/relationships/hyperlink" Target="pplx://action/claim?id=2" TargetMode="External"/><Relationship Id="rId7" Type="http://schemas.openxmlformats.org/officeDocument/2006/relationships/hyperlink" Target="pplx://action/claim?id=3" TargetMode="External"/><Relationship Id="rId8" Type="http://schemas.openxmlformats.org/officeDocument/2006/relationships/hyperlink" Target="pplx://action/claim?id=4" TargetMode="External"/><Relationship Id="rId9" Type="http://schemas.openxmlformats.org/officeDocument/2006/relationships/hyperlink" Target="pplx://action/claim?id=5" TargetMode="External"/><Relationship Id="rId10" Type="http://schemas.openxmlformats.org/officeDocument/2006/relationships/hyperlink" Target="pplx://action/claim?id=1" TargetMode="External"/><Relationship Id="rId11" Type="http://schemas.openxmlformats.org/officeDocument/2006/relationships/hyperlink" Target="pplx://action/claim?id=6" TargetMode="External"/><Relationship Id="rId12" Type="http://schemas.openxmlformats.org/officeDocument/2006/relationships/hyperlink" Target="pplx://action/claim?id=7" TargetMode="External"/><Relationship Id="rId13" Type="http://schemas.openxmlformats.org/officeDocument/2006/relationships/hyperlink" Target="pplx://action/claim?id=8" TargetMode="External"/><Relationship Id="rId14" Type="http://schemas.openxmlformats.org/officeDocument/2006/relationships/hyperlink" Target="pplx://action/claim?id=9" TargetMode="External"/><Relationship Id="rId15" Type="http://schemas.openxmlformats.org/officeDocument/2006/relationships/hyperlink" Target="pplx://action/claim?id=10" TargetMode="External"/><Relationship Id="rId16" Type="http://schemas.openxmlformats.org/officeDocument/2006/relationships/hyperlink" Target="pplx://action/claim?id=11" TargetMode="External"/><Relationship Id="rId17" Type="http://schemas.openxmlformats.org/officeDocument/2006/relationships/hyperlink" Target="pplx://action/claim?id=12" TargetMode="External"/><Relationship Id="rId18" Type="http://schemas.openxmlformats.org/officeDocument/2006/relationships/hyperlink" Target="pplx://action/claim?id=13" TargetMode="External"/><Relationship Id="rId19" Type="http://schemas.openxmlformats.org/officeDocument/2006/relationships/hyperlink" Target="pplx://action/claim?id=14" TargetMode="External"/><Relationship Id="rId20" Type="http://schemas.openxmlformats.org/officeDocument/2006/relationships/hyperlink" Target="pplx://action/claim?id=15" TargetMode="External"/><Relationship Id="rId21" Type="http://schemas.openxmlformats.org/officeDocument/2006/relationships/hyperlink" Target="pplx://action/claim?id=16" TargetMode="External"/><Relationship Id="rId22" Type="http://schemas.openxmlformats.org/officeDocument/2006/relationships/hyperlink" Target="pplx://action/claim?id=17" TargetMode="External"/><Relationship Id="rId23" Type="http://schemas.openxmlformats.org/officeDocument/2006/relationships/hyperlink" Target="pplx://action/claim?id=18" TargetMode="External"/><Relationship Id="rId24" Type="http://schemas.openxmlformats.org/officeDocument/2006/relationships/hyperlink" Target="pplx://action/claim?id=19" TargetMode="External"/><Relationship Id="rId25" Type="http://schemas.openxmlformats.org/officeDocument/2006/relationships/hyperlink" Target="pplx://action/claim?id=20" TargetMode="External"/><Relationship Id="rId26" Type="http://schemas.openxmlformats.org/officeDocument/2006/relationships/hyperlink" Target="pplx://action/claim?id=21" TargetMode="External"/><Relationship Id="rId27" Type="http://schemas.openxmlformats.org/officeDocument/2006/relationships/hyperlink" Target="pplx://action/claim?id=22" TargetMode="External"/><Relationship Id="rId28" Type="http://schemas.openxmlformats.org/officeDocument/2006/relationships/hyperlink" Target="pplx://action/claim?id=23" TargetMode="External"/><Relationship Id="rId29" Type="http://schemas.openxmlformats.org/officeDocument/2006/relationships/hyperlink" Target="pplx://action/claim?id=24" TargetMode="External"/><Relationship Id="rId30" Type="http://schemas.openxmlformats.org/officeDocument/2006/relationships/hyperlink" Target="pplx://action/claim?id=25" TargetMode="External"/><Relationship Id="rId31" Type="http://schemas.openxmlformats.org/officeDocument/2006/relationships/hyperlink" Target="pplx://action/claim?id=26" TargetMode="External"/><Relationship Id="rId32" Type="http://schemas.openxmlformats.org/officeDocument/2006/relationships/hyperlink" Target="pplx://action/claim?id=27" TargetMode="External"/><Relationship Id="rId33" Type="http://schemas.openxmlformats.org/officeDocument/2006/relationships/hyperlink" Target="pplx://action/claim?id=28" TargetMode="External"/><Relationship Id="rId34" Type="http://schemas.openxmlformats.org/officeDocument/2006/relationships/hyperlink" Target="pplx://action/claim?id=2" TargetMode="External"/><Relationship Id="rId35" Type="http://schemas.openxmlformats.org/officeDocument/2006/relationships/hyperlink" Target="pplx://action/claim?id=29" TargetMode="External"/><Relationship Id="rId36" Type="http://schemas.openxmlformats.org/officeDocument/2006/relationships/hyperlink" Target="pplx://action/claim?id=30" TargetMode="External"/><Relationship Id="rId37" Type="http://schemas.openxmlformats.org/officeDocument/2006/relationships/hyperlink" Target="pplx://action/claim?id=31" TargetMode="External"/><Relationship Id="rId38" Type="http://schemas.openxmlformats.org/officeDocument/2006/relationships/hyperlink" Target="pplx://action/claim?id=32" TargetMode="External"/><Relationship Id="rId39" Type="http://schemas.openxmlformats.org/officeDocument/2006/relationships/hyperlink" Target="pplx://action/claim?id=33" TargetMode="External"/><Relationship Id="rId40" Type="http://schemas.openxmlformats.org/officeDocument/2006/relationships/hyperlink" Target="pplx://action/claim?id=34" TargetMode="External"/><Relationship Id="rId41" Type="http://schemas.openxmlformats.org/officeDocument/2006/relationships/hyperlink" Target="pplx://action/claim?id=35" TargetMode="External"/><Relationship Id="rId42" Type="http://schemas.openxmlformats.org/officeDocument/2006/relationships/hyperlink" Target="pplx://action/claim?id=36" TargetMode="External"/><Relationship Id="rId43" Type="http://schemas.openxmlformats.org/officeDocument/2006/relationships/hyperlink" Target="pplx://action/claim?id=37" TargetMode="External"/><Relationship Id="rId44" Type="http://schemas.openxmlformats.org/officeDocument/2006/relationships/hyperlink" Target="pplx://action/claim?id=38" TargetMode="External"/><Relationship Id="rId45" Type="http://schemas.openxmlformats.org/officeDocument/2006/relationships/hyperlink" Target="pplx://action/claim?id=39" TargetMode="External"/><Relationship Id="rId46" Type="http://schemas.openxmlformats.org/officeDocument/2006/relationships/hyperlink" Target="pplx://action/claim?id=4" TargetMode="External"/><Relationship Id="rId47" Type="http://schemas.openxmlformats.org/officeDocument/2006/relationships/hyperlink" Target="pplx://action/claim?id=3" TargetMode="External"/><Relationship Id="rId48" Type="http://schemas.openxmlformats.org/officeDocument/2006/relationships/hyperlink" Target="pplx://action/claim?id=1" TargetMode="External"/><Relationship Id="rId49" Type="http://schemas.openxmlformats.org/officeDocument/2006/relationships/hyperlink" Target="pplx://action/claim?id=34" TargetMode="External"/><Relationship Id="rId50" Type="http://schemas.openxmlformats.org/officeDocument/2006/relationships/hyperlink" Target="pplx://action/claim?id=35" TargetMode="External"/><Relationship Id="rId51" Type="http://schemas.openxmlformats.org/officeDocument/2006/relationships/hyperlink" Target="pplx://action/claim?id=9" TargetMode="External"/><Relationship Id="rId52" Type="http://schemas.openxmlformats.org/officeDocument/2006/relationships/hyperlink" Target="pplx://action/claim?id=13" TargetMode="External"/><Relationship Id="rId53" Type="http://schemas.openxmlformats.org/officeDocument/2006/relationships/hyperlink" Target="pplx://action/claim?id=12" TargetMode="External"/><Relationship Id="rId54" Type="http://schemas.openxmlformats.org/officeDocument/2006/relationships/hyperlink" Target="pplx://action/claim?id=17" TargetMode="External"/><Relationship Id="rId55" Type="http://schemas.openxmlformats.org/officeDocument/2006/relationships/hyperlink" Target="pplx://action/claim?id=21" TargetMode="External"/><Relationship Id="rId56" Type="http://schemas.openxmlformats.org/officeDocument/2006/relationships/hyperlink" Target="pplx://action/claim?id=20" TargetMode="External"/><Relationship Id="rId57" Type="http://schemas.openxmlformats.org/officeDocument/2006/relationships/hyperlink" Target="pplx://action/claim?id=18" TargetMode="External"/><Relationship Id="rId58" Type="http://schemas.openxmlformats.org/officeDocument/2006/relationships/hyperlink" Target="pplx://action/claim?id=26" TargetMode="External"/><Relationship Id="rId59" Type="http://schemas.openxmlformats.org/officeDocument/2006/relationships/hyperlink" Target="pplx://action/claim?id=27" TargetMode="External"/><Relationship Id="rId60" Type="http://schemas.openxmlformats.org/officeDocument/2006/relationships/hyperlink" Target="pplx://action/claim?id=28" TargetMode="External"/><Relationship Id="rId61" Type="http://schemas.openxmlformats.org/officeDocument/2006/relationships/hyperlink" Target="pplx://action/claim?id=2" TargetMode="External"/><Relationship Id="rId62" Type="http://schemas.openxmlformats.org/officeDocument/2006/relationships/hyperlink" Target="pplx://action/claim?id=3" TargetMode="External"/><Relationship Id="rId63" Type="http://schemas.openxmlformats.org/officeDocument/2006/relationships/hyperlink" Target="pplx://action/claim?id=7" TargetMode="External"/><Relationship Id="rId64" Type="http://schemas.openxmlformats.org/officeDocument/2006/relationships/hyperlink" Target="pplx://action/claim?id=5" TargetMode="External"/><Relationship Id="rId65" Type="http://schemas.openxmlformats.org/officeDocument/2006/relationships/hyperlink" Target="pplx://action/claim?id=1" TargetMode="External"/><Relationship Id="rId66" Type="http://schemas.openxmlformats.org/officeDocument/2006/relationships/hyperlink" Target="pplx://action/claim?id=29" TargetMode="External"/><Relationship Id="rId67" Type="http://schemas.openxmlformats.org/officeDocument/2006/relationships/hyperlink" Target="pplx://action/claim?id=30" TargetMode="External"/><Relationship Id="rId68" Type="http://schemas.openxmlformats.org/officeDocument/2006/relationships/hyperlink" Target="pplx://action/claim?id=31" TargetMode="External"/><Relationship Id="rId69" Type="http://schemas.openxmlformats.org/officeDocument/2006/relationships/hyperlink" Target="pplx://action/claim?id=32" TargetMode="External"/><Relationship Id="rId70" Type="http://schemas.openxmlformats.org/officeDocument/2006/relationships/hyperlink" Target="pplx://action/claim?id=32" TargetMode="External"/><Relationship Id="rId71" Type="http://schemas.openxmlformats.org/officeDocument/2006/relationships/hyperlink" Target="pplx://action/claim?id=25" TargetMode="External"/><Relationship Id="rId72" Type="http://schemas.openxmlformats.org/officeDocument/2006/relationships/hyperlink" Target="https://www.stocktitan.net/sec-filings/BLK/10-k-black-rock-inc-files-annual-report-d280a370171b.html" TargetMode="External"/><Relationship Id="rId73" Type="http://schemas.openxmlformats.org/officeDocument/2006/relationships/hyperlink" Target="http://www.mfwire.com/article.asp?storyID=71961&amp;template=article" TargetMode="External"/><Relationship Id="rId74" Type="http://schemas.openxmlformats.org/officeDocument/2006/relationships/hyperlink" Target="https://www.marketscreener.com/news/blackrock-reports-full-year-2025-diluted-eps-of-35-31-or-48-09-as-adjusted-ce7e58d9df8cf521" TargetMode="External"/><Relationship Id="rId75" Type="http://schemas.openxmlformats.org/officeDocument/2006/relationships/hyperlink" Target="https://www.caproasia.com/2023/01/19/world-2nd-largest-asset-manager-blackrock-aum-falls-to-8-59-trillion-in-2022-from-10-trillion-in-2021-institutional-aum-at-4-1-trillion-843-billion-in-retail-2-9-trillion-etfs-671-billion-c/" TargetMode="External"/><Relationship Id="rId76" Type="http://schemas.openxmlformats.org/officeDocument/2006/relationships/hyperlink" Target="https://global.morningstar.com/en-nd/stocks/blackrock-earnings-market-gains-record-inflows-drive-aum-revenue-new-highs" TargetMode="External"/><Relationship Id="rId77" Type="http://schemas.openxmlformats.org/officeDocument/2006/relationships/hyperlink" Target="https://www.businesswire.com/news/home/20240112651860/en/BlackRock-Reports-Full-Year-2023-Diluted-EPS-of-$36.51-or-$37.77-as-Adjusted" TargetMode="External"/><Relationship Id="rId78" Type="http://schemas.openxmlformats.org/officeDocument/2006/relationships/hyperlink" Target="https://www.blackrock.com/corporate/newsroom/press-releases/article/corporate-one/press-releases/blackrock-reports-full-Year-2023-diluted" TargetMode="External"/><Relationship Id="rId79" Type="http://schemas.openxmlformats.org/officeDocument/2006/relationships/hyperlink" Target="https://ir.blackrock.com/news-and-events/press-releases/press-releases-details/2025/BlackRock-Reports-Full-Year-2024-Diluted-EPS-of-42.01-or-43.61-as-Adjusted-Fourth-Quarter-2024-Diluted-EPS-of-10.63-or-11.93-as-Adjusted/default.aspx" TargetMode="External"/><Relationship Id="rId80" Type="http://schemas.openxmlformats.org/officeDocument/2006/relationships/hyperlink" Target="https://finance.yahoo.com/news/blackrock-q4-earnings-record-inflows-115508471.html" TargetMode="External"/><Relationship Id="rId81" Type="http://schemas.openxmlformats.org/officeDocument/2006/relationships/hyperlink" Target="https://www.reuters.com/business/blackrock-fourth-quarter-profit-rises-etf-inflows-index-fund-demand-2026-01-15/" TargetMode="External"/><Relationship Id="rId82" Type="http://schemas.openxmlformats.org/officeDocument/2006/relationships/hyperlink" Target="https://www.blackrock.com/corporate/newsroom/press-releases/article/corporate-one/press-releases/blackrock-reports-fourth-quarter-2025" TargetMode="External"/><Relationship Id="rId83" Type="http://schemas.openxmlformats.org/officeDocument/2006/relationships/hyperlink" Target="https://www.investing.com/news/company-news/blackrock-q4-2025-slides-aum-hits-14-trillion-operating-margin-expands-to-45-93CH-4450021" TargetMode="External"/><Relationship Id="rId84" Type="http://schemas.openxmlformats.org/officeDocument/2006/relationships/hyperlink" Target="https://www.investing.com/news/transcripts/earnings-call-transcript-blackrocks-q4-2025-beats-expectations-with-strong-revenue-growth-93CH-4449916" TargetMode="External"/><Relationship Id="rId85" Type="http://schemas.openxmlformats.org/officeDocument/2006/relationships/hyperlink" Target="https://economictimes.com/news/international/business/blackrock-assets-hit-record-11-6-trillion-in-fourth-quarter-of-2024/articleshow/117267678.cms" TargetMode="External"/><Relationship Id="rId86" Type="http://schemas.openxmlformats.org/officeDocument/2006/relationships/hyperlink" Target="https://www.connectmoney.com/evening-brief/blackrock-assets-hit-record-11-6t-in-q4-24-evening-brief-01-16-25/" TargetMode="External"/><Relationship Id="rId87" Type="http://schemas.openxmlformats.org/officeDocument/2006/relationships/hyperlink" Target="https://fortune.com/company-assets/764/quartr/earnings-release-8-k-2c089-2025-07-15-10-49-41.pdf" TargetMode="External"/><Relationship Id="rId88" Type="http://schemas.openxmlformats.org/officeDocument/2006/relationships/hyperlink" Target="https://x.com/marketsday/status/2011778389955527117" TargetMode="External"/><Relationship Id="rId89" Type="http://schemas.openxmlformats.org/officeDocument/2006/relationships/hyperlink" Target="https://www.wallstreet-online.de/nachricht/17698884-blackrock-reports-full-year-2023-diluted-eps-of-36-51-or-37-77-as-adjusted" TargetMode="External"/><Relationship Id="rId90" Type="http://schemas.openxmlformats.org/officeDocument/2006/relationships/hyperlink" Target="https://401kspecialistmag.com/blackrock-aum-tops-13-trillion-for-first-time/" TargetMode="External"/><Relationship Id="rId91" Type="http://schemas.openxmlformats.org/officeDocument/2006/relationships/hyperlink" Target="https://www.gurufocus.com/news/2977067/blackrock-inc-blk-q2-2025-earnings-eps-of-1019-beats-estimates-revenue-hits-5423-mill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2026-04-04T00:01:24.855Z</dcterms:created>
  <dcterms:modified xsi:type="dcterms:W3CDTF">2026-04-04T00:01:24.855Z</dcterms:modified>
</cp:coreProperties>
</file>