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200"/>
        <w:jc w:val="center"/>
      </w:pPr>
      <w:r>
        <w:t xml:space="preserve">INDUXIA V1.4 — INDUSTRIAL AI &amp; RESILIENCE</w:t>
      </w:r>
    </w:p>
    <w:p>
      <w:pPr>
        <w:spacing w:after="300"/>
        <w:jc w:val="center"/>
      </w:pPr>
      <w:r>
        <w:t xml:space="preserve">Dossier Exécutif Stratégique pour Dirigeants d'Entreprises et Investisseurs</w:t>
      </w:r>
    </w:p>
    <w:p>
      <w:pPr>
        <w:spacing w:after="500"/>
        <w:jc w:val="center"/>
      </w:pPr>
      <w:r>
        <w:t xml:space="preserve">Moteur d’IA Locale Souveraine Compatible AMD ROCm &amp; Résilience Usine du Futur (V1.5 - V2.0)</w:t>
      </w:r>
    </w:p>
    <w:p>
      <w:pPr>
        <w:pStyle w:val="Heading1"/>
        <w:spacing w:after="150" w:before="300"/>
      </w:pPr>
      <w:r>
        <w:t xml:space="preserve">1. Synthèse Exécutive &amp; Thèse d’Investissement</w:t>
      </w:r>
    </w:p>
    <w:p>
      <w:pPr>
        <w:spacing w:after="150"/>
      </w:pPr>
      <w:r>
        <w:t xml:space="preserve">L'industrie manufacturière mondiale subit des pertes annuelles colossales liées aux arrêts de production non planifiés. Dans une usine type de 25 machines de haute précision (fraiseuses CNC, presses hydrauliques, turbines), chaque arrêt de ligne coûte entre 15 000 € et 50 000 € par heure en pièces rebutées, retards de livraison et pénalités contractuelles. À ce fléau s'ajoute l'envolée des coûts énergétiques et l'exigence de conformité aux normes ISO 50001 et à la directive européenne CSRD.</w:t>
      </w:r>
    </w:p>
    <w:p>
      <w:pPr>
        <w:spacing w:after="200"/>
      </w:pPr>
      <w:r>
        <w:t xml:space="preserve">INDUXIA V1.4 apporte une rupture technologique majeure : le premier système d'intelligence artificielle locale souveraine accéléré sur station de travail par puces AMD ROCm, fonctionnant 100% sur site et déconnecté de tout cloud extérieur. Le système garantit l'absence totale d'hallucination via un RAG industriel normé (ISO 10816, ISO 13374) et impose une validation humaine stricte (Human-in-the-Loop) avant toute modification de paramètre sur un équipement.</w:t>
      </w:r>
    </w:p>
    <w:p>
      <w:pPr>
        <w:pStyle w:val="Heading2"/>
        <w:spacing w:after="100" w:before="200"/>
      </w:pPr>
      <w:r>
        <w:t xml:space="preserve">Tableau 1 : Modèle Économique &amp; Gains Annuels par Usine (25 Machines)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0F172A" w:val="clear"/>
          </w:tcPr>
          <w:p>
            <w:r>
              <w:t xml:space="preserve">Poste d’Économie Réelle</w:t>
            </w:r>
          </w:p>
        </w:tc>
        <w:tc>
          <w:tcPr>
            <w:shd w:fill="0F172A" w:val="clear"/>
          </w:tcPr>
          <w:p>
            <w:r>
              <w:t xml:space="preserve">Situation Avant INDUXIA</w:t>
            </w:r>
          </w:p>
        </w:tc>
        <w:tc>
          <w:tcPr>
            <w:shd w:fill="0F172A" w:val="clear"/>
          </w:tcPr>
          <w:p>
            <w:r>
              <w:t xml:space="preserve">Impact INDUXIA V1.4-V2.0</w:t>
            </w:r>
          </w:p>
        </w:tc>
        <w:tc>
          <w:tcPr>
            <w:shd w:fill="E11D48" w:val="clear"/>
          </w:tcPr>
          <w:p>
            <w:r>
              <w:t xml:space="preserve">Gain Net (€ / An)</w:t>
            </w:r>
          </w:p>
        </w:tc>
      </w:tr>
      <w:tr>
        <w:tc>
          <w:p>
            <w:r>
              <w:t xml:space="preserve">Arrêts critiques non planifiés</w:t>
            </w:r>
          </w:p>
        </w:tc>
        <w:tc>
          <w:p>
            <w:r>
              <w:t xml:space="preserve">40 heures de panne par an</w:t>
            </w:r>
          </w:p>
        </w:tc>
        <w:tc>
          <w:p>
            <w:r>
              <w:t xml:space="preserve">&lt; 4 heures/an (-90% d’arrêts)</w:t>
            </w:r>
          </w:p>
        </w:tc>
        <w:tc>
          <w:p>
            <w:r>
              <w:t xml:space="preserve">+540 000 €</w:t>
            </w:r>
          </w:p>
        </w:tc>
      </w:tr>
      <w:tr>
        <w:tc>
          <w:p>
            <w:r>
              <w:t xml:space="preserve">Gaspillage d’énergie frictionnelle (kWh)</w:t>
            </w:r>
          </w:p>
        </w:tc>
        <w:tc>
          <w:p>
            <w:r>
              <w:t xml:space="preserve">+8% à 12% surconsommation</w:t>
            </w:r>
          </w:p>
        </w:tc>
        <w:tc>
          <w:p>
            <w:r>
              <w:t xml:space="preserve">Correction sous 4 heures</w:t>
            </w:r>
          </w:p>
        </w:tc>
        <w:tc>
          <w:p>
            <w:r>
              <w:t xml:space="preserve">+45 000 €</w:t>
            </w:r>
          </w:p>
        </w:tc>
      </w:tr>
      <w:tr>
        <w:tc>
          <w:p>
            <w:r>
              <w:t xml:space="preserve">Allongement durée de vie broches</w:t>
            </w:r>
          </w:p>
        </w:tc>
        <w:tc>
          <w:p>
            <w:r>
              <w:t xml:space="preserve">Casse prématurée</w:t>
            </w:r>
          </w:p>
        </w:tc>
        <w:tc>
          <w:p>
            <w:r>
              <w:t xml:space="preserve">+25% de durée de service</w:t>
            </w:r>
          </w:p>
        </w:tc>
        <w:tc>
          <w:p>
            <w:r>
              <w:t xml:space="preserve">+65 000 €</w:t>
            </w:r>
          </w:p>
        </w:tc>
      </w:tr>
      <w:tr>
        <w:tc>
          <w:p>
            <w:r>
              <w:t xml:space="preserve">Productivité techniciens de maintenance</w:t>
            </w:r>
          </w:p>
        </w:tc>
        <w:tc>
          <w:p>
            <w:r>
              <w:t xml:space="preserve">1.5h de saisie manuelle / jour</w:t>
            </w:r>
          </w:p>
        </w:tc>
        <w:tc>
          <w:p>
            <w:r>
              <w:t xml:space="preserve">ODT pré-remplis dans SAP PM</w:t>
            </w:r>
          </w:p>
        </w:tc>
        <w:tc>
          <w:p>
            <w:r>
              <w:t xml:space="preserve">+40 000 €</w:t>
            </w:r>
          </w:p>
        </w:tc>
      </w:tr>
      <w:tr>
        <w:tc>
          <w:tcPr>
            <w:shd w:fill="1E293B" w:val="clear"/>
          </w:tcPr>
          <w:p>
            <w:r>
              <w:t xml:space="preserve">TOTAL DES GAINS NETS ANNUELS</w:t>
            </w:r>
          </w:p>
        </w:tc>
        <w:tc>
          <w:tcPr>
            <w:shd w:fill="1E293B" w:val="clear"/>
          </w:tcPr>
          <w:p>
            <w:r>
              <w:t xml:space="preserve">—</w:t>
            </w:r>
          </w:p>
        </w:tc>
        <w:tc>
          <w:tcPr>
            <w:shd w:fill="1E293B" w:val="clear"/>
          </w:tcPr>
          <w:p>
            <w:r>
              <w:t xml:space="preserve">—</w:t>
            </w:r>
          </w:p>
        </w:tc>
        <w:tc>
          <w:tcPr>
            <w:shd w:fill="10B981" w:val="clear"/>
          </w:tcPr>
          <w:p>
            <w:r>
              <w:t xml:space="preserve">+690 000 € / an</w:t>
            </w:r>
          </w:p>
        </w:tc>
      </w:tr>
    </w:tbl>
    <w:p>
      <w:pPr>
        <w:pStyle w:val="Heading1"/>
        <w:spacing w:after="150" w:before="300"/>
      </w:pPr>
      <w:r>
        <w:t xml:space="preserve">2. L’Architecture Technologique &amp; la Souveraineté AMD ROCm</w:t>
      </w:r>
    </w:p>
    <w:p>
      <w:pPr>
        <w:spacing w:after="100"/>
      </w:pPr>
      <w:r>
        <w:t xml:space="preserve">Contrairement aux solutions basées sur des API Cloud publiques (AWS, OpenAI, Azure) qui imposent d'exporter la télémétrie confidentielle de l'usine et facturent chaque token d'inférence, INDUXIA exploite des stations d'atelier équipées de cartes AMD Radeon™ (RX 7900 XTX, Pro W7900) ou AMD Instinct™ (MI210, MI300X).</w:t>
      </w:r>
    </w:p>
    <w:p>
      <w:pPr>
        <w:spacing w:after="200"/>
      </w:pPr>
      <w:r>
        <w:t xml:space="preserve">Grâce à la suite logicielle AMD ROCm / HIP, le modèle d'inférence local (Qwen 2.5 7B ou Llama 3.1 8B quantifié) s'exécute avec une latence de 50 ms et un débit dépassant 35 tokens par seconde, sans la moindre dépendance à une connexion Internet externe. La conformité avec les réglementations de cybersécurité industrielle (Directive NIS 2 et norme IEC 62443 niveau SL-3) est native.</w:t>
      </w:r>
    </w:p>
    <w:p>
      <w:pPr>
        <w:pStyle w:val="Heading1"/>
        <w:spacing w:after="150" w:before="300"/>
      </w:pPr>
      <w:r>
        <w:t xml:space="preserve">3. Trajectoire d’Évolution &amp; Usine du Futur (V1.5 → V2.0)</w:t>
      </w:r>
    </w:p>
    <w:p>
      <w:pPr>
        <w:spacing w:after="100"/>
      </w:pPr>
      <w:r>
        <w:t xml:space="preserve">• INDUXIA V1.5 (Court terme - 3 à 6 mois) : Déploiement de la passerelle de bus de terrain universelle OPC-UA et MQTT Sparkplug B pour une interconnexion directe aux automates Siemens S7-1500 et Beckhoff TwinCAT. Module d'éco-efficience énergétique ISO 50001 corrélant les frottements mécaniques avec la surconsommation en kWh.</w:t>
      </w:r>
    </w:p>
    <w:p>
      <w:pPr>
        <w:spacing w:after="100"/>
      </w:pPr>
      <w:r>
        <w:t xml:space="preserve">• INDUXIA V1.6 (Moyen terme - 6 à 12 mois) : Calcul du RUL (Remaining Useful Life) permettant d'anticiper la rupture d'un composant critique en heures d'usinage. Simulateur « What-If » permettant au chef d'atelier d'arbitrer entre cadence de fabrication et préservation machine. Boucle fermée avec les logiciels de GMAO (SAP PM, IBM Maximo) pour la réservation automatique des pièces de rechange.</w:t>
      </w:r>
    </w:p>
    <w:p>
      <w:pPr>
        <w:spacing w:after="200"/>
      </w:pPr>
      <w:r>
        <w:t xml:space="preserve">• INDUXIA V2.0 (Long terme - 12 à 18 mois) : IA multimodale embarquée sur GPU AMD couplant le LLM à l'analyse thermographique infrarouge (caméras FLIR) et compagnon vocal mains-libres en atelier (Whisper local quantifié).</w:t>
      </w:r>
    </w:p>
    <w:p>
      <w:pPr>
        <w:pStyle w:val="Heading2"/>
        <w:spacing w:after="100" w:before="200"/>
      </w:pPr>
      <w:r>
        <w:t xml:space="preserve">Tableau 2 : Projections Financières &amp; Trajectoire de Croissance (2026 - 2029)</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0F172A" w:val="clear"/>
          </w:tcPr>
          <w:p>
            <w:r>
              <w:t xml:space="preserve">Indicateur Financier</w:t>
            </w:r>
          </w:p>
        </w:tc>
        <w:tc>
          <w:tcPr>
            <w:shd w:fill="0F172A" w:val="clear"/>
          </w:tcPr>
          <w:p>
            <w:r>
              <w:t xml:space="preserve">2026 (Pilotes)</w:t>
            </w:r>
          </w:p>
        </w:tc>
        <w:tc>
          <w:tcPr>
            <w:shd w:fill="0F172A" w:val="clear"/>
          </w:tcPr>
          <w:p>
            <w:r>
              <w:t xml:space="preserve">2027 (Déploiement)</w:t>
            </w:r>
          </w:p>
        </w:tc>
        <w:tc>
          <w:tcPr>
            <w:shd w:fill="0F172A" w:val="clear"/>
          </w:tcPr>
          <w:p>
            <w:r>
              <w:t xml:space="preserve">2028 (Scale)</w:t>
            </w:r>
          </w:p>
        </w:tc>
        <w:tc>
          <w:tcPr>
            <w:shd w:fill="E11D48" w:val="clear"/>
          </w:tcPr>
          <w:p>
            <w:r>
              <w:t xml:space="preserve">2029 (Leader)</w:t>
            </w:r>
          </w:p>
        </w:tc>
      </w:tr>
      <w:tr>
        <w:tc>
          <w:p>
            <w:r>
              <w:t xml:space="preserve">Nombre d’usines déployées</w:t>
            </w:r>
          </w:p>
        </w:tc>
        <w:tc>
          <w:p>
            <w:r>
              <w:t xml:space="preserve">8 sites</w:t>
            </w:r>
          </w:p>
        </w:tc>
        <w:tc>
          <w:p>
            <w:r>
              <w:t xml:space="preserve">32 sites</w:t>
            </w:r>
          </w:p>
        </w:tc>
        <w:tc>
          <w:p>
            <w:r>
              <w:t xml:space="preserve">85 sites</w:t>
            </w:r>
          </w:p>
        </w:tc>
        <w:tc>
          <w:p>
            <w:r>
              <w:t xml:space="preserve">190 sites</w:t>
            </w:r>
          </w:p>
        </w:tc>
      </w:tr>
      <w:tr>
        <w:tc>
          <w:p>
            <w:r>
              <w:t xml:space="preserve">Revenu Récurrent Annuel (ARR)</w:t>
            </w:r>
          </w:p>
        </w:tc>
        <w:tc>
          <w:p>
            <w:r>
              <w:t xml:space="preserve">0,8 M€</w:t>
            </w:r>
          </w:p>
        </w:tc>
        <w:tc>
          <w:p>
            <w:r>
              <w:t xml:space="preserve">2,6 M€</w:t>
            </w:r>
          </w:p>
        </w:tc>
        <w:tc>
          <w:p>
            <w:r>
              <w:t xml:space="preserve">6,8 M€</w:t>
            </w:r>
          </w:p>
        </w:tc>
        <w:tc>
          <w:p>
            <w:r>
              <w:t xml:space="preserve">15,2 M€</w:t>
            </w:r>
          </w:p>
        </w:tc>
      </w:tr>
      <w:tr>
        <w:tc>
          <w:p>
            <w:r>
              <w:t xml:space="preserve">Marge Brute Logicielle</w:t>
            </w:r>
          </w:p>
        </w:tc>
        <w:tc>
          <w:p>
            <w:r>
              <w:t xml:space="preserve">78%</w:t>
            </w:r>
          </w:p>
        </w:tc>
        <w:tc>
          <w:p>
            <w:r>
              <w:t xml:space="preserve">82%</w:t>
            </w:r>
          </w:p>
        </w:tc>
        <w:tc>
          <w:p>
            <w:r>
              <w:t xml:space="preserve">84%</w:t>
            </w:r>
          </w:p>
        </w:tc>
        <w:tc>
          <w:p>
            <w:r>
              <w:t xml:space="preserve">85%</w:t>
            </w:r>
          </w:p>
        </w:tc>
      </w:tr>
      <w:tr>
        <w:tc>
          <w:p>
            <w:r>
              <w:t xml:space="preserve">EBITDA</w:t>
            </w:r>
          </w:p>
        </w:tc>
        <w:tc>
          <w:p>
            <w:r>
              <w:t xml:space="preserve">-0,6 M€</w:t>
            </w:r>
          </w:p>
        </w:tc>
        <w:tc>
          <w:p>
            <w:r>
              <w:t xml:space="preserve">+0,2 M€</w:t>
            </w:r>
          </w:p>
        </w:tc>
        <w:tc>
          <w:p>
            <w:r>
              <w:t xml:space="preserve">+2,1 M€</w:t>
            </w:r>
          </w:p>
        </w:tc>
        <w:tc>
          <w:p>
            <w:r>
              <w:t xml:space="preserve">+5,8 M€</w:t>
            </w:r>
          </w:p>
        </w:tc>
      </w:tr>
    </w:tbl>
    <w:p>
      <w:pPr>
        <w:pStyle w:val="Heading1"/>
        <w:spacing w:after="150" w:before="300"/>
      </w:pPr>
      <w:r>
        <w:t xml:space="preserve">4. Demande de Financement &amp; Utilisation des Fonds</w:t>
      </w:r>
    </w:p>
    <w:p>
      <w:pPr>
        <w:spacing w:after="100"/>
      </w:pPr>
      <w:r>
        <w:t xml:space="preserve">INDUXIA recherche un investissement de 2,5 millions d'euros pour accélérer sa commercialisation en France, en Allemagne et au Benelux, et finaliser ses partenariats stratégiques avec les fabricants de machines-outils et AMD. L'utilisation des fonds est ventilée comme suit :</w:t>
      </w:r>
    </w:p>
    <w:p>
      <w:pPr>
        <w:spacing w:after="200"/>
      </w:pPr>
      <w:r>
        <w:t xml:space="preserve">• 40% (1,0 M€) : Équipe commerciale et avant-vente industrielle pour l'acquisition de 32 usines en 18 mois.
• 35% (0,875 M€) : R&amp;D ingénierie logicielle ROCm, connecteurs temps réel OPC-UA et modules de pronostic RUL.
• 15% (0,375 M€) : Certification de compatibilité constructeurs et bancs de test matériels AMD.
• 10% (0,25 M€) : Homologation cybersécurité IEC 62443 et certifications de sécurité d'atelier.</w:t>
      </w:r>
    </w:p>
    <w:p>
      <w:pPr>
        <w:spacing w:before="300"/>
        <w:jc w:val="right"/>
      </w:pPr>
      <w:r>
        <w:t xml:space="preserve">Document établi le 7 octobre 2026 par la Direction Générale d’INDUXIA.</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2026-10-07T13:21:40.176Z</dcterms:created>
  <dcterms:modified xsi:type="dcterms:W3CDTF">2026-10-07T13:21:40.176Z</dcterms:modified>
</cp:coreProperties>
</file>

<file path=docProps/custom.xml><?xml version="1.0" encoding="utf-8"?>
<Properties xmlns="http://schemas.openxmlformats.org/officeDocument/2006/custom-properties" xmlns:vt="http://schemas.openxmlformats.org/officeDocument/2006/docPropsVTypes"/>
</file>