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Porting the Matrix to San Francisco</w:t>
      </w:r>
    </w:p>
    <w:p>
      <w:r>
        <w:rPr>
          <w:b w:val="0"/>
          <w:i/>
        </w:rPr>
        <w:t>NYC Streetlight Complaint Hub → SF Equity Procurement Tool</w:t>
      </w:r>
    </w:p>
    <w:p>
      <w:r>
        <w:rPr>
          <w:b w:val="0"/>
          <w:i/>
        </w:rPr>
        <w:t>Drafted 2026-05-17 · For Nischal Divecha and Mithran Sadasivam</w:t>
      </w:r>
    </w:p>
    <w:p>
      <w:r>
        <w:rPr>
          <w:b w:val="0"/>
          <w:i/>
        </w:rPr>
        <w:t>Source research compiled from SF Admin Code §14B, DataSF, SF Controller integrity reports, SF.gov contracting publications, and CMD policy documents (Dec 2024 amendments).</w:t>
      </w:r>
    </w:p>
    <w:p>
      <w:r>
        <w:rPr>
          <w:b/>
          <w:sz w:val="32"/>
        </w:rPr>
        <w:t>TL;DR — the four headline findings</w:t>
      </w:r>
    </w:p>
    <w:p>
      <w:pPr>
        <w:pStyle w:val="ListNumber"/>
      </w:pPr>
      <w:r>
        <w:t>SF does not have a direct analog to NYC PPB Rule 3-08. SF Chapter 14B works through bid discounts and set-asides, not noncompetitive direct purchase. The closest match is the Micro-LBE construction set-aside (≤$600,000) plus a 10% LBE bid discount on competitive solicitations. Our matrix needs to change to model this — but the policy lever is real and live.</w:t>
      </w:r>
    </w:p>
    <w:p>
      <w:pPr>
        <w:pStyle w:val="ListNumber"/>
      </w:pPr>
      <w:r>
        <w:t>Do NOT lead with streetlights in SF. SF streetlights are maintained by SFPUC in-house crews on city poles, and by PG&amp;E on utility poles. There is no contractor pool to redistribute — the entire NYC narrative of "two primes take 92%" does not exist. The right v1 target is sidewalk repair (SIRP), which has a private-contractor pool, an existing 23% LBE subcontracting goal, and clear concentration among 5–8 prime C-8 concrete contractors.</w:t>
      </w:r>
    </w:p>
    <w:p>
      <w:pPr>
        <w:pStyle w:val="ListNumber"/>
      </w:pPr>
      <w:r>
        <w:t>SF has a massive political tailwind we lack in NYC. The Nuru / DPW corruption scandal (2020–2022) and the Controller's 2024 Public Integrity Review specifically called out $151M of pre-qualified contractor pools as a fraud-risk area. Our tool is literally the transparency layer the Controller recommended. Mayor Lurie's small-business agenda (PermitSF, First Year Free) makes a procurement-equity tool politically on-narrative.</w:t>
      </w:r>
    </w:p>
    <w:p>
      <w:pPr>
        <w:pStyle w:val="ListNumber"/>
      </w:pPr>
      <w:r>
        <w:t>The matrix can redirect roughly $6M/year of SIRP work to ~100 LBE-certified C-8 firms, averaging $40K–$75K per firm. Smaller absolute scale than NYC ($50M+), but a tighter pilot and a much faster path to a real agency partner given (a) the Nuru scandal tailwind, (b) the Lurie small-business agenda, and (c) Civic Bridge as a built-in 16-week engagement vehicle.</w:t>
      </w:r>
    </w:p>
    <w:p>
      <w:r>
        <w:rPr>
          <w:b/>
          <w:sz w:val="32"/>
        </w:rPr>
        <w:t>1. Why an SF expansion makes sense now</w:t>
      </w:r>
    </w:p>
    <w:p>
      <w:r>
        <w:t>Three converging conditions make the SF port more politically tractable than the NYC pilot, even though SF's policy lever is weaker than NYC's PPB Rule 3-08.</w:t>
      </w:r>
    </w:p>
    <w:p>
      <w:r>
        <w:rPr>
          <w:b/>
          <w:sz w:val="26"/>
        </w:rPr>
        <w:t>1.1 The Nuru scandal aftermath</w:t>
      </w:r>
    </w:p>
    <w:p>
      <w:r>
        <w:t>Mohammed Nuru, former Director of SF Public Works, was sentenced in 2022 to seven years in federal prison for honest-services fraud involving Recology, Chinese developers, and others. The Controller's Office subsequently issued nine public-integrity reports with 64 recommendations on procurement reform. The city is actively looking for procurement transparency tools. Our matrix is, structurally, exactly that.</w:t>
      </w:r>
    </w:p>
    <w:p>
      <w:r>
        <w:rPr>
          <w:b w:val="0"/>
          <w:i/>
        </w:rPr>
        <w:t>Citation: https://en.wikipedia.org/wiki/San_Francisco_Department_of_Public_Works_corruption_scandal</w:t>
      </w:r>
    </w:p>
    <w:p>
      <w:r>
        <w:rPr>
          <w:b w:val="0"/>
          <w:i/>
        </w:rPr>
        <w:t>Citation: https://www.sf.gov/news--controller-publishes-report-citys-progress-implementing-public-integrity-reforms</w:t>
      </w:r>
    </w:p>
    <w:p>
      <w:r>
        <w:rPr>
          <w:b/>
          <w:sz w:val="26"/>
        </w:rPr>
        <w:t>1.2 The Controller's 2024 Public Integrity Review</w:t>
      </w:r>
    </w:p>
    <w:p>
      <w:r>
        <w:t>In 2024 the SF Controller released a Public Integrity Review specifically on Public Works contracting. The review found "no discernible selection process" in $10M of homeless-services awards and flagged $151M of pre-qualified contractor pools as a top fraud-risk area. The Review explicitly recommends a transparency / selection layer for these pools. That is what our tool is. Whether the Controller's office is the right pilot partner, or whether DPW itself is, is an open question worth resolving.</w:t>
      </w:r>
    </w:p>
    <w:p>
      <w:r>
        <w:rPr>
          <w:b w:val="0"/>
          <w:i/>
        </w:rPr>
        <w:t>Citation: https://www.sf.gov/news--controllers-office-releases-assessment-public-works-contracting-part-public-integrity-review</w:t>
      </w:r>
    </w:p>
    <w:p>
      <w:r>
        <w:rPr>
          <w:b/>
          <w:sz w:val="26"/>
        </w:rPr>
        <w:t>1.3 The Lurie administration's small-business agenda</w:t>
      </w:r>
    </w:p>
    <w:p>
      <w:r>
        <w:t>Mayor Daniel Lurie took office January 2025. His public agenda emphasizes small-business permit reform (PermitSF), the "First Year Free" program (extended through June 2026), and downtown reactivation. A tool that routes city procurement spend to small local LBE firms sits cleanly inside this narrative. There is no daylight between what the matrix produces and what the administration is publicly committed to.</w:t>
      </w:r>
    </w:p>
    <w:p>
      <w:r>
        <w:rPr>
          <w:b w:val="0"/>
          <w:i/>
        </w:rPr>
        <w:t>Citation: https://www.sf.gov/news-mayor-lurie-extends-first-year-free-program-helping-small-businesses-open-and-grow</w:t>
      </w:r>
    </w:p>
    <w:p>
      <w:r>
        <w:rPr>
          <w:b/>
          <w:sz w:val="32"/>
        </w:rPr>
        <w:t>2. The policy landscape — SF Administrative Code Chapter 14B</w:t>
      </w:r>
    </w:p>
    <w:p>
      <w:r>
        <w:rPr>
          <w:b/>
          <w:sz w:val="26"/>
        </w:rPr>
        <w:t>2.1 What 14B is</w:t>
      </w:r>
    </w:p>
    <w:p>
      <w:r>
        <w:t>San Francisco Administrative Code Chapter 14B (the "Local Business Enterprise Utilization and Non-Discrimination in Contracting Ordinance") is the city's primary mechanism for routing contract dollars to local small businesses. Critically, unlike NYC's M/WBE program, SF 14B is RACE-NEUTRAL post-Coral Construction v. City of San Francisco (2010). The program targets size and locality, not minority status directly — though minority/women-owned firms are surfaced via cross-walked state certifications (CalCERT MBE/WBE) and SBA 8(a).</w:t>
      </w:r>
    </w:p>
    <w:p>
      <w:r>
        <w:rPr>
          <w:b w:val="0"/>
          <w:i/>
        </w:rPr>
        <w:t>Citation: https://codelibrary.amlegal.com/codes/san_francisco/latest/sf_admin/0-0-0-9440</w:t>
      </w:r>
    </w:p>
    <w:p>
      <w:r>
        <w:rPr>
          <w:b/>
          <w:sz w:val="26"/>
        </w:rPr>
        <w:t>2.2 The 2024 amendment (effective January 1, 2025)</w:t>
      </w:r>
    </w:p>
    <w:p>
      <w:r>
        <w:t>The most recent comprehensive amendment to 14B was passed in late 2024 and took effect January 1, 2025. The four key changes:</w:t>
      </w:r>
    </w:p>
    <w:p>
      <w:pPr>
        <w:pStyle w:val="ListNumber"/>
      </w:pPr>
      <w:r>
        <w:t>Implementation transferred from the Human Rights Commission (HRC) to the Contract Monitoring Division (CMD) under the City Administrator.</w:t>
      </w:r>
    </w:p>
    <w:p>
      <w:pPr>
        <w:pStyle w:val="ListNumber"/>
      </w:pPr>
      <w:r>
        <w:t>Requires the Mayor to annually set a citywide LBE participation goal of at least 40% of contract value.</w:t>
      </w:r>
    </w:p>
    <w:p>
      <w:pPr>
        <w:pStyle w:val="ListNumber"/>
      </w:pPr>
      <w:r>
        <w:t>Raised the firm-size thresholds for Micro, Small, and SBA-LBE classifications.</w:t>
      </w:r>
    </w:p>
    <w:p>
      <w:pPr>
        <w:pStyle w:val="ListNumber"/>
      </w:pPr>
      <w:r>
        <w:t>Increased the bid discount available to SBA-LBEs on contracts between $10K and $10M.</w:t>
      </w:r>
    </w:p>
    <w:p>
      <w:r>
        <w:rPr>
          <w:b w:val="0"/>
          <w:i/>
        </w:rPr>
        <w:t>Citation: https://www.sf.gov/resource--2024--14b-requirements-and-applicability</w:t>
      </w:r>
    </w:p>
    <w:p>
      <w:r>
        <w:rPr>
          <w:b w:val="0"/>
          <w:i/>
        </w:rPr>
        <w:t>Citation: https://media.api.sf.gov/documents/14B_Rules_and_Regs_v.10.2025.pdf</w:t>
      </w:r>
    </w:p>
    <w:p>
      <w:r>
        <w:rPr>
          <w:b/>
          <w:sz w:val="26"/>
        </w:rPr>
        <w:t>2.3 The actual policy levers we can use</w:t>
      </w:r>
    </w:p>
    <w:p>
      <w:r>
        <w:rPr>
          <w:b w:val="0"/>
          <w:i/>
        </w:rPr>
        <w:t>Three mechanisms, none of which exactly mirrors NYC PPB Rule 3-08:</w:t>
      </w:r>
    </w:p>
    <w:p>
      <w:pPr>
        <w:pStyle w:val="ListBullet"/>
      </w:pPr>
      <w:r>
        <w:t>Micro-LBE construction set-aside: contracts at or below the "Threshold Amount" of $600,000 (indexed every five years per §14B.7(K)(1)) can be competitively set aside for Micro-LBE construction firms. THIS is the closest analog to NYC's direct-purchase mechanism, and it cleanly fits typical SIRP work-order packages ($50K–$500K).</w:t>
      </w:r>
    </w:p>
    <w:p>
      <w:pPr>
        <w:pStyle w:val="ListBullet"/>
      </w:pPr>
      <w:r>
        <w:t>Bid discount: 10% bid preference for LBEs on low-bid solicitations; 10% RFP score bonus. SBA-LBEs got an additional bump in the 2024 amendment.</w:t>
      </w:r>
    </w:p>
    <w:p>
      <w:pPr>
        <w:pStyle w:val="ListBullet"/>
      </w:pPr>
      <w:r>
        <w:t>Chapter 21 sole-source: contracts under $20,000 can be procured informally; above $10,000 requires OCA sole-source waiver. Useful for very small repair jobs.</w:t>
      </w:r>
    </w:p>
    <w:p>
      <w:r>
        <w:rPr>
          <w:b/>
          <w:sz w:val="26"/>
        </w:rPr>
        <w:t>2.4 What 14B size caps look like as of January 1,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Firm type</w:t>
            </w:r>
          </w:p>
        </w:tc>
        <w:tc>
          <w:tcPr>
            <w:tcW w:type="dxa" w:w="2160"/>
          </w:tcPr>
          <w:p>
            <w:r/>
            <w:r>
              <w:rPr>
                <w:b/>
              </w:rPr>
              <w:t>Micro</w:t>
            </w:r>
          </w:p>
        </w:tc>
        <w:tc>
          <w:tcPr>
            <w:tcW w:type="dxa" w:w="2160"/>
          </w:tcPr>
          <w:p>
            <w:r/>
            <w:r>
              <w:rPr>
                <w:b/>
              </w:rPr>
              <w:t>Small</w:t>
            </w:r>
          </w:p>
        </w:tc>
        <w:tc>
          <w:tcPr>
            <w:tcW w:type="dxa" w:w="2160"/>
          </w:tcPr>
          <w:p>
            <w:r/>
            <w:r>
              <w:rPr>
                <w:b/>
              </w:rPr>
              <w:t>SBA</w:t>
            </w:r>
          </w:p>
        </w:tc>
      </w:tr>
      <w:tr>
        <w:tc>
          <w:tcPr>
            <w:tcW w:type="dxa" w:w="2160"/>
          </w:tcPr>
          <w:p>
            <w:r/>
            <w:r>
              <w:t>Class A/B General Contractors</w:t>
            </w:r>
          </w:p>
        </w:tc>
        <w:tc>
          <w:tcPr>
            <w:tcW w:type="dxa" w:w="2160"/>
          </w:tcPr>
          <w:p>
            <w:r/>
            <w:r>
              <w:t>$14.05M</w:t>
            </w:r>
          </w:p>
        </w:tc>
        <w:tc>
          <w:tcPr>
            <w:tcW w:type="dxa" w:w="2160"/>
          </w:tcPr>
          <w:p>
            <w:r/>
            <w:r>
              <w:t>$28.10M</w:t>
            </w:r>
          </w:p>
        </w:tc>
        <w:tc>
          <w:tcPr>
            <w:tcW w:type="dxa" w:w="2160"/>
          </w:tcPr>
          <w:p>
            <w:r/>
            <w:r>
              <w:t>$46.84M</w:t>
            </w:r>
          </w:p>
        </w:tc>
      </w:tr>
      <w:tr>
        <w:tc>
          <w:tcPr>
            <w:tcW w:type="dxa" w:w="2160"/>
          </w:tcPr>
          <w:p>
            <w:r/>
            <w:r>
              <w:t>Specialty construction + goods/svc</w:t>
            </w:r>
          </w:p>
        </w:tc>
        <w:tc>
          <w:tcPr>
            <w:tcW w:type="dxa" w:w="2160"/>
          </w:tcPr>
          <w:p>
            <w:r/>
            <w:r>
              <w:t>$7.03M</w:t>
            </w:r>
          </w:p>
        </w:tc>
        <w:tc>
          <w:tcPr>
            <w:tcW w:type="dxa" w:w="2160"/>
          </w:tcPr>
          <w:p>
            <w:r/>
            <w:r>
              <w:t>$14.05M</w:t>
            </w:r>
          </w:p>
        </w:tc>
        <w:tc>
          <w:tcPr>
            <w:tcW w:type="dxa" w:w="2160"/>
          </w:tcPr>
          <w:p>
            <w:r/>
            <w:r>
              <w:t>$23.42M</w:t>
            </w:r>
          </w:p>
        </w:tc>
      </w:tr>
      <w:tr>
        <w:tc>
          <w:tcPr>
            <w:tcW w:type="dxa" w:w="2160"/>
          </w:tcPr>
          <w:p>
            <w:r/>
            <w:r>
              <w:t>A/E and Professional Services</w:t>
            </w:r>
          </w:p>
        </w:tc>
        <w:tc>
          <w:tcPr>
            <w:tcW w:type="dxa" w:w="2160"/>
          </w:tcPr>
          <w:p>
            <w:r/>
            <w:r>
              <w:t>$2.93M</w:t>
            </w:r>
          </w:p>
        </w:tc>
        <w:tc>
          <w:tcPr>
            <w:tcW w:type="dxa" w:w="2160"/>
          </w:tcPr>
          <w:p>
            <w:r/>
            <w:r>
              <w:t>$5.86M</w:t>
            </w:r>
          </w:p>
        </w:tc>
        <w:tc>
          <w:tcPr>
            <w:tcW w:type="dxa" w:w="2160"/>
          </w:tcPr>
          <w:p>
            <w:r/>
            <w:r>
              <w:t>$9.95M</w:t>
            </w:r>
          </w:p>
        </w:tc>
      </w:tr>
      <w:tr>
        <w:tc>
          <w:tcPr>
            <w:tcW w:type="dxa" w:w="2160"/>
          </w:tcPr>
          <w:p>
            <w:r/>
            <w:r>
              <w:t>Trucking / hauling</w:t>
            </w:r>
          </w:p>
        </w:tc>
        <w:tc>
          <w:tcPr>
            <w:tcW w:type="dxa" w:w="2160"/>
          </w:tcPr>
          <w:p>
            <w:r/>
            <w:r>
              <w:t>$2.93M</w:t>
            </w:r>
          </w:p>
        </w:tc>
        <w:tc>
          <w:tcPr>
            <w:tcW w:type="dxa" w:w="2160"/>
          </w:tcPr>
          <w:p>
            <w:r/>
            <w:r>
              <w:t>$5.86M</w:t>
            </w:r>
          </w:p>
        </w:tc>
        <w:tc>
          <w:tcPr>
            <w:tcW w:type="dxa" w:w="2160"/>
          </w:tcPr>
          <w:p>
            <w:r/>
            <w:r>
              <w:t>$11.71M</w:t>
            </w:r>
          </w:p>
        </w:tc>
      </w:tr>
    </w:tbl>
    <w:p>
      <w:r>
        <w:rPr>
          <w:b w:val="0"/>
          <w:i/>
        </w:rPr>
        <w:t>Citation: https://www.sf.gov/14b-local-business-enterprise-lbe-program</w:t>
      </w:r>
    </w:p>
    <w:p>
      <w:r>
        <w:rPr>
          <w:b/>
          <w:sz w:val="26"/>
        </w:rPr>
        <w:t>2.5 The structural difference from NYC</w:t>
      </w:r>
    </w:p>
    <w:p>
      <w:r>
        <w:t>NYC PPB Rule 3-08 says: "any agency can buy directly from a certified M/WBE up to $1.5M per purchase with no competitive solicitation." That is a simple binary lever.</w:t>
      </w:r>
    </w:p>
    <w:p>
      <w:r>
        <w:t>SF Chapter 14B says: "competitive procurements get a 10% bid discount applied to LBEs, AND construction work at or below $600K can be set aside for Micro-LBEs, AND professional services contracts subdivided into prime + sub goals." That is a layered lever, not a binary one.</w:t>
      </w:r>
    </w:p>
    <w:p>
      <w:r>
        <w:t>Implication for our matrix: the SF version cannot use a binary "direct-purchase eligibility" component. It needs to model the bid-discount adjustment and the set-aside eligibility separately. See Section 5 below.</w:t>
      </w:r>
    </w:p>
    <w:p>
      <w:r>
        <w:rPr>
          <w:b/>
          <w:sz w:val="32"/>
        </w:rPr>
        <w:t>3. The v1 complaint type — pick sidewalk repair, not streetlights</w:t>
      </w:r>
    </w:p>
    <w:p>
      <w:r>
        <w:rPr>
          <w:b/>
          <w:sz w:val="26"/>
        </w:rPr>
        <w:t>3.1 Why streetlights fail in SF</w:t>
      </w:r>
    </w:p>
    <w:p>
      <w:r>
        <w:t>In NYC the streetlight pitch worked because 92% of contract dollars go to Welsbach + Hellman. In SF there are NO streetlight contractors. SFPUC owns and maintains approximately 22,000 of the city's 43,000 streetlights using in-house crews. PG&amp;E owns and maintains the other 21,000 on PG&amp;E poles. There is no third-party vendor pool. The redistribution narrative does not exist for SF streetlights.</w:t>
      </w:r>
    </w:p>
    <w:p>
      <w:r>
        <w:rPr>
          <w:b w:val="0"/>
          <w:i/>
        </w:rPr>
        <w:t>Citation: https://sfbos.org/Modules/ShowDocument.aspx?documentid=19224</w:t>
      </w:r>
    </w:p>
    <w:p>
      <w:r>
        <w:rPr>
          <w:b w:val="0"/>
          <w:i/>
        </w:rPr>
        <w:t>Citation: https://www.sfpuc.gov/sites/default/files/documents/StreetlightGuidelines_20210701.pdf</w:t>
      </w:r>
    </w:p>
    <w:p>
      <w:r>
        <w:rPr>
          <w:b/>
          <w:sz w:val="26"/>
        </w:rPr>
        <w:t>3.2 Evaluating eight candidate 311 categories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Candidate</w:t>
            </w:r>
          </w:p>
        </w:tc>
        <w:tc>
          <w:tcPr>
            <w:tcW w:type="dxa" w:w="2160"/>
          </w:tcPr>
          <w:p>
            <w:r/>
            <w:r>
              <w:rPr>
                <w:b/>
              </w:rPr>
              <w:t>Done by</w:t>
            </w:r>
          </w:p>
        </w:tc>
        <w:tc>
          <w:tcPr>
            <w:tcW w:type="dxa" w:w="2160"/>
          </w:tcPr>
          <w:p>
            <w:r/>
            <w:r>
              <w:rPr>
                <w:b/>
              </w:rPr>
              <w:t>Vendor pool</w:t>
            </w:r>
          </w:p>
        </w:tc>
        <w:tc>
          <w:tcPr>
            <w:tcW w:type="dxa" w:w="2160"/>
          </w:tcPr>
          <w:p>
            <w:r/>
            <w:r>
              <w:rPr>
                <w:b/>
              </w:rPr>
              <w:t>Verdict</w:t>
            </w:r>
          </w:p>
        </w:tc>
      </w:tr>
      <w:tr>
        <w:tc>
          <w:tcPr>
            <w:tcW w:type="dxa" w:w="2160"/>
          </w:tcPr>
          <w:p>
            <w:r/>
            <w:r>
              <w:t>Streetlight outages</w:t>
            </w:r>
          </w:p>
        </w:tc>
        <w:tc>
          <w:tcPr>
            <w:tcW w:type="dxa" w:w="2160"/>
          </w:tcPr>
          <w:p>
            <w:r/>
            <w:r>
              <w:t>SFPUC in-house + PG&amp;E</w:t>
            </w:r>
          </w:p>
        </w:tc>
        <w:tc>
          <w:tcPr>
            <w:tcW w:type="dxa" w:w="2160"/>
          </w:tcPr>
          <w:p>
            <w:r/>
            <w:r>
              <w:t>None</w:t>
            </w:r>
          </w:p>
        </w:tc>
        <w:tc>
          <w:tcPr>
            <w:tcW w:type="dxa" w:w="2160"/>
          </w:tcPr>
          <w:p>
            <w:r/>
            <w:r>
              <w:t>REJECT</w:t>
            </w:r>
          </w:p>
        </w:tc>
      </w:tr>
      <w:tr>
        <w:tc>
          <w:tcPr>
            <w:tcW w:type="dxa" w:w="2160"/>
          </w:tcPr>
          <w:p>
            <w:r/>
            <w:r>
              <w:t>Sidewalk repair (SIRP)</w:t>
            </w:r>
          </w:p>
        </w:tc>
        <w:tc>
          <w:tcPr>
            <w:tcW w:type="dxa" w:w="2160"/>
          </w:tcPr>
          <w:p>
            <w:r/>
            <w:r>
              <w:t>Private C-8 contractors via SIRP master contracts</w:t>
            </w:r>
          </w:p>
        </w:tc>
        <w:tc>
          <w:tcPr>
            <w:tcW w:type="dxa" w:w="2160"/>
          </w:tcPr>
          <w:p>
            <w:r/>
            <w:r>
              <w:t>100+ C-8 firms in SF county; 23% LBE goal already</w:t>
            </w:r>
          </w:p>
        </w:tc>
        <w:tc>
          <w:tcPr>
            <w:tcW w:type="dxa" w:w="2160"/>
          </w:tcPr>
          <w:p>
            <w:r/>
            <w:r>
              <w:t>RECOMMEND v1</w:t>
            </w:r>
          </w:p>
        </w:tc>
      </w:tr>
      <w:tr>
        <w:tc>
          <w:tcPr>
            <w:tcW w:type="dxa" w:w="2160"/>
          </w:tcPr>
          <w:p>
            <w:r/>
            <w:r>
              <w:t>Pothole / asphalt</w:t>
            </w:r>
          </w:p>
        </w:tc>
        <w:tc>
          <w:tcPr>
            <w:tcW w:type="dxa" w:w="2160"/>
          </w:tcPr>
          <w:p>
            <w:r/>
            <w:r>
              <w:t>Mix in-house + paving primes</w:t>
            </w:r>
          </w:p>
        </w:tc>
        <w:tc>
          <w:tcPr>
            <w:tcW w:type="dxa" w:w="2160"/>
          </w:tcPr>
          <w:p>
            <w:r/>
            <w:r>
              <w:t>Narrow (small set of large primes)</w:t>
            </w:r>
          </w:p>
        </w:tc>
        <w:tc>
          <w:tcPr>
            <w:tcW w:type="dxa" w:w="2160"/>
          </w:tcPr>
          <w:p>
            <w:r/>
            <w:r>
              <w:t>Moderate</w:t>
            </w:r>
          </w:p>
        </w:tc>
      </w:tr>
      <w:tr>
        <w:tc>
          <w:tcPr>
            <w:tcW w:type="dxa" w:w="2160"/>
          </w:tcPr>
          <w:p>
            <w:r/>
            <w:r>
              <w:t>Tree maintenance (StreetTreeSF)</w:t>
            </w:r>
          </w:p>
        </w:tc>
        <w:tc>
          <w:tcPr>
            <w:tcW w:type="dxa" w:w="2160"/>
          </w:tcPr>
          <w:p>
            <w:r/>
            <w:r>
              <w:t>~50% in-house, ~50% certified arborists via M03 master</w:t>
            </w:r>
          </w:p>
        </w:tc>
        <w:tc>
          <w:tcPr>
            <w:tcW w:type="dxa" w:w="2160"/>
          </w:tcPr>
          <w:p>
            <w:r/>
            <w:r>
              <w:t>Moderate D-49 arborist pool</w:t>
            </w:r>
          </w:p>
        </w:tc>
        <w:tc>
          <w:tcPr>
            <w:tcW w:type="dxa" w:w="2160"/>
          </w:tcPr>
          <w:p>
            <w:r/>
            <w:r>
              <w:t>Strong runner-up</w:t>
            </w:r>
          </w:p>
        </w:tc>
      </w:tr>
      <w:tr>
        <w:tc>
          <w:tcPr>
            <w:tcW w:type="dxa" w:w="2160"/>
          </w:tcPr>
          <w:p>
            <w:r/>
            <w:r>
              <w:t>Graffiti abatement</w:t>
            </w:r>
          </w:p>
        </w:tc>
        <w:tc>
          <w:tcPr>
            <w:tcW w:type="dxa" w:w="2160"/>
          </w:tcPr>
          <w:p>
            <w:r/>
            <w:r>
              <w:t>DPW crews + ~5 small primes (Cleanscapes, Graffiti Control, etc.)</w:t>
            </w:r>
          </w:p>
        </w:tc>
        <w:tc>
          <w:tcPr>
            <w:tcW w:type="dxa" w:w="2160"/>
          </w:tcPr>
          <w:p>
            <w:r/>
            <w:r>
              <w:t>Small (~5–8 primes)</w:t>
            </w:r>
          </w:p>
        </w:tc>
        <w:tc>
          <w:tcPr>
            <w:tcW w:type="dxa" w:w="2160"/>
          </w:tcPr>
          <w:p>
            <w:r/>
            <w:r>
              <w:t>Possible</w:t>
            </w:r>
          </w:p>
        </w:tc>
      </w:tr>
      <w:tr>
        <w:tc>
          <w:tcPr>
            <w:tcW w:type="dxa" w:w="2160"/>
          </w:tcPr>
          <w:p>
            <w:r/>
            <w:r>
              <w:t>Sewer / water main</w:t>
            </w:r>
          </w:p>
        </w:tc>
        <w:tc>
          <w:tcPr>
            <w:tcW w:type="dxa" w:w="2160"/>
          </w:tcPr>
          <w:p>
            <w:r/>
            <w:r>
              <w:t>SFPUC in-house + few A/C-34 primes</w:t>
            </w:r>
          </w:p>
        </w:tc>
        <w:tc>
          <w:tcPr>
            <w:tcW w:type="dxa" w:w="2160"/>
          </w:tcPr>
          <w:p>
            <w:r/>
            <w:r>
              <w:t>Narrow</w:t>
            </w:r>
          </w:p>
        </w:tc>
        <w:tc>
          <w:tcPr>
            <w:tcW w:type="dxa" w:w="2160"/>
          </w:tcPr>
          <w:p>
            <w:r/>
            <w:r>
              <w:t>REJECT (capital, not 311)</w:t>
            </w:r>
          </w:p>
        </w:tc>
      </w:tr>
      <w:tr>
        <w:tc>
          <w:tcPr>
            <w:tcW w:type="dxa" w:w="2160"/>
          </w:tcPr>
          <w:p>
            <w:r/>
            <w:r>
              <w:t>Plumbing / habitability</w:t>
            </w:r>
          </w:p>
        </w:tc>
        <w:tc>
          <w:tcPr>
            <w:tcW w:type="dxa" w:w="2160"/>
          </w:tcPr>
          <w:p>
            <w:r/>
            <w:r>
              <w:t>Property owner pays</w:t>
            </w:r>
          </w:p>
        </w:tc>
        <w:tc>
          <w:tcPr>
            <w:tcW w:type="dxa" w:w="2160"/>
          </w:tcPr>
          <w:p>
            <w:r/>
            <w:r>
              <w:t>N/A</w:t>
            </w:r>
          </w:p>
        </w:tc>
        <w:tc>
          <w:tcPr>
            <w:tcW w:type="dxa" w:w="2160"/>
          </w:tcPr>
          <w:p>
            <w:r/>
            <w:r>
              <w:t>REJECT</w:t>
            </w:r>
          </w:p>
        </w:tc>
      </w:tr>
      <w:tr>
        <w:tc>
          <w:tcPr>
            <w:tcW w:type="dxa" w:w="2160"/>
          </w:tcPr>
          <w:p>
            <w:r/>
            <w:r>
              <w:t>Pavement on transit lanes</w:t>
            </w:r>
          </w:p>
        </w:tc>
        <w:tc>
          <w:tcPr>
            <w:tcW w:type="dxa" w:w="2160"/>
          </w:tcPr>
          <w:p>
            <w:r/>
            <w:r>
              <w:t>SFMTA in-house + few paving primes</w:t>
            </w:r>
          </w:p>
        </w:tc>
        <w:tc>
          <w:tcPr>
            <w:tcW w:type="dxa" w:w="2160"/>
          </w:tcPr>
          <w:p>
            <w:r/>
            <w:r>
              <w:t>Narrow</w:t>
            </w:r>
          </w:p>
        </w:tc>
        <w:tc>
          <w:tcPr>
            <w:tcW w:type="dxa" w:w="2160"/>
          </w:tcPr>
          <w:p>
            <w:r/>
            <w:r>
              <w:t>REJECT</w:t>
            </w:r>
          </w:p>
        </w:tc>
      </w:tr>
    </w:tbl>
    <w:p>
      <w:r>
        <w:rPr>
          <w:b/>
          <w:sz w:val="26"/>
        </w:rPr>
        <w:t>3.3 Why sidewalk repair (SIRP) wins</w:t>
      </w:r>
    </w:p>
    <w:p>
      <w:pPr>
        <w:pStyle w:val="ListBullet"/>
      </w:pPr>
      <w:r>
        <w:t>Existing private contractor pool with concentration. SIRP and DPW "as-needed" master contracts concentrate work among ~5–8 prime C-8 concrete contractors. The redistribution narrative parallels NYC streetlights.</w:t>
      </w:r>
    </w:p>
    <w:p>
      <w:pPr>
        <w:pStyle w:val="ListBullet"/>
      </w:pPr>
      <w:r>
        <w:t>Existing 14B subcontracting goal. SIRP already carries a ~23% LBE subcontracting requirement. We are not creating a new mandate; we are operationalizing an existing one.</w:t>
      </w:r>
    </w:p>
    <w:p>
      <w:pPr>
        <w:pStyle w:val="ListBullet"/>
      </w:pPr>
      <w:r>
        <w:t>Clean license roster. CSLB C-8 (concrete) license data is bulk-downloadable by county and classification — better data than NYC's scattered DOB/DCWP roster situation.</w:t>
      </w:r>
    </w:p>
    <w:p>
      <w:pPr>
        <w:pStyle w:val="ListBullet"/>
      </w:pPr>
      <w:r>
        <w:t>Set-aside fit. SIRP work-order packages are typically $50K–$500K, comfortably inside the Micro-LBE set-aside ceiling of $600K. The policy lever applies cleanly without legal stretch.</w:t>
      </w:r>
    </w:p>
    <w:p>
      <w:pPr>
        <w:pStyle w:val="ListBullet"/>
      </w:pPr>
      <w:r>
        <w:t>311-relatable. Citizens file sidewalk-condition complaints directly through SF311 — same intake surface as streetlights for NYC.</w:t>
      </w:r>
    </w:p>
    <w:p>
      <w:r>
        <w:rPr>
          <w:b w:val="0"/>
          <w:i/>
        </w:rPr>
        <w:t>Citations: https://sfpublicworks.org/sirp · https://sfpublicworks.org/VL45</w:t>
      </w:r>
    </w:p>
    <w:p>
      <w:r>
        <w:rPr>
          <w:b/>
          <w:sz w:val="26"/>
        </w:rPr>
        <w:t>3.4 Strong second: tree maintenance</w:t>
      </w:r>
    </w:p>
    <w:p>
      <w:r>
        <w:t>StreetTreeSF master contract (M03) covers tree maintenance work done by D-49 arborists. About 50% in-house, 50% contracted. Notably, the 14B goal is FREQUENTLY WAIVED on tree contracts in practice — which is itself a redistribution opportunity. Worth holding as v2 after the sidewalk-repair pilot validates.</w:t>
      </w:r>
    </w:p>
    <w:p>
      <w:r>
        <w:rPr>
          <w:b w:val="0"/>
          <w:i/>
        </w:rPr>
        <w:t>Citation: https://sfpublicworks.org/streettreesf-faq</w:t>
      </w:r>
    </w:p>
    <w:p>
      <w:r>
        <w:rPr>
          <w:b w:val="0"/>
          <w:i/>
        </w:rPr>
        <w:t>Citation: https://sfpublicworks.org/sites/default/files/Announcement%20for%20Master%20As-Needed%20Contract%20M03%20Tree%20Services%202side.pdf</w:t>
      </w:r>
    </w:p>
    <w:p>
      <w:r>
        <w:rPr>
          <w:b/>
          <w:sz w:val="32"/>
        </w:rPr>
        <w:t>4. Data sources — DataSF and the LBE directory gap</w:t>
      </w:r>
    </w:p>
    <w:p>
      <w:r>
        <w:rPr>
          <w:b/>
          <w:sz w:val="26"/>
        </w:rPr>
        <w:t>4.1 DataSF datasets (verified live)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Purpose</w:t>
            </w:r>
          </w:p>
        </w:tc>
        <w:tc>
          <w:tcPr>
            <w:tcW w:type="dxa" w:w="2880"/>
          </w:tcPr>
          <w:p>
            <w:r/>
            <w:r>
              <w:rPr>
                <w:b/>
              </w:rPr>
              <w:t>Dataset (Socrata ID)</w:t>
            </w:r>
          </w:p>
        </w:tc>
        <w:tc>
          <w:tcPr>
            <w:tcW w:type="dxa" w:w="2880"/>
          </w:tcPr>
          <w:p>
            <w:r/>
            <w:r>
              <w:rPr>
                <w:b/>
              </w:rPr>
              <w:t>NYC analog</w:t>
            </w:r>
          </w:p>
        </w:tc>
      </w:tr>
      <w:tr>
        <w:tc>
          <w:tcPr>
            <w:tcW w:type="dxa" w:w="2880"/>
          </w:tcPr>
          <w:p>
            <w:r/>
            <w:r>
              <w:t>Contract awards (vendor + agency + amount + scope)</w:t>
            </w:r>
          </w:p>
        </w:tc>
        <w:tc>
          <w:tcPr>
            <w:tcW w:type="dxa" w:w="2880"/>
          </w:tcPr>
          <w:p>
            <w:r/>
            <w:r>
              <w:t>Supplier Contracts (cqi5-hm2d)</w:t>
            </w:r>
          </w:p>
        </w:tc>
        <w:tc>
          <w:tcPr>
            <w:tcW w:type="dxa" w:w="2880"/>
          </w:tcPr>
          <w:p>
            <w:r/>
            <w:r>
              <w:t>qyyg-4tf5 Recent Contract Awards</w:t>
            </w:r>
          </w:p>
        </w:tc>
      </w:tr>
      <w:tr>
        <w:tc>
          <w:tcPr>
            <w:tcW w:type="dxa" w:w="2880"/>
          </w:tcPr>
          <w:p>
            <w:r/>
            <w:r>
              <w:t>Sub-threshold payments (the "checkbook" layer)</w:t>
            </w:r>
          </w:p>
        </w:tc>
        <w:tc>
          <w:tcPr>
            <w:tcW w:type="dxa" w:w="2880"/>
          </w:tcPr>
          <w:p>
            <w:r/>
            <w:r>
              <w:t>Vendor Payments PO Summary (p5r5-fd7g) + OpenBook portal</w:t>
            </w:r>
          </w:p>
        </w:tc>
        <w:tc>
          <w:tcPr>
            <w:tcW w:type="dxa" w:w="2880"/>
          </w:tcPr>
          <w:p>
            <w:r/>
            <w:r>
              <w:t>mxwn-eh3b (Checkbook NYC) — same role</w:t>
            </w:r>
          </w:p>
        </w:tc>
      </w:tr>
      <w:tr>
        <w:tc>
          <w:tcPr>
            <w:tcW w:type="dxa" w:w="2880"/>
          </w:tcPr>
          <w:p>
            <w:r/>
            <w:r>
              <w:t>311 service requests with geocodes</w:t>
            </w:r>
          </w:p>
        </w:tc>
        <w:tc>
          <w:tcPr>
            <w:tcW w:type="dxa" w:w="2880"/>
          </w:tcPr>
          <w:p>
            <w:r/>
            <w:r>
              <w:t>311 Cases (vw6y-z8j6) — ~6M+ rows since 2008</w:t>
            </w:r>
          </w:p>
        </w:tc>
        <w:tc>
          <w:tcPr>
            <w:tcW w:type="dxa" w:w="2880"/>
          </w:tcPr>
          <w:p>
            <w:r/>
            <w:r>
              <w:t>erm2-nwe9 (NYC 311)</w:t>
            </w:r>
          </w:p>
        </w:tc>
      </w:tr>
      <w:tr>
        <w:tc>
          <w:tcPr>
            <w:tcW w:type="dxa" w:w="2880"/>
          </w:tcPr>
          <w:p>
            <w:r/>
            <w:r>
              <w:t>Registered business locations</w:t>
            </w:r>
          </w:p>
        </w:tc>
        <w:tc>
          <w:tcPr>
            <w:tcW w:type="dxa" w:w="2880"/>
          </w:tcPr>
          <w:p>
            <w:r/>
            <w:r>
              <w:t>Registered Business Locations (g8m3-pdis) — ~300K rows</w:t>
            </w:r>
          </w:p>
        </w:tc>
        <w:tc>
          <w:tcPr>
            <w:tcW w:type="dxa" w:w="2880"/>
          </w:tcPr>
          <w:p>
            <w:r/>
            <w:r>
              <w:t>DOB License Info t8hj-ruu2 (looser equivalent)</w:t>
            </w:r>
          </w:p>
        </w:tc>
      </w:tr>
      <w:tr>
        <w:tc>
          <w:tcPr>
            <w:tcW w:type="dxa" w:w="2880"/>
          </w:tcPr>
          <w:p>
            <w:r/>
            <w:r>
              <w:t>Licensed contractors (electricians, concrete, etc.)</w:t>
            </w:r>
          </w:p>
        </w:tc>
        <w:tc>
          <w:tcPr>
            <w:tcW w:type="dxa" w:w="2880"/>
          </w:tcPr>
          <w:p>
            <w:r/>
            <w:r>
              <w:t>CSLB Public Data Portal (state level, bulk-downloadable by county + classification)</w:t>
            </w:r>
          </w:p>
        </w:tc>
        <w:tc>
          <w:tcPr>
            <w:tcW w:type="dxa" w:w="2880"/>
          </w:tcPr>
          <w:p>
            <w:r/>
            <w:r>
              <w:t>DOB Master Electrician roster + DCWP HIC</w:t>
            </w:r>
          </w:p>
        </w:tc>
      </w:tr>
    </w:tbl>
    <w:p>
      <w:r>
        <w:rPr>
          <w:b w:val="0"/>
          <w:i/>
        </w:rPr>
        <w:t>Citation: https://data.sfgov.org/City-Management-and-Ethics/Supplier-Contracts/cqi5-hm2d</w:t>
      </w:r>
    </w:p>
    <w:p>
      <w:r>
        <w:rPr>
          <w:b w:val="0"/>
          <w:i/>
        </w:rPr>
        <w:t>Citation: https://data.sfgov.org/City-Infrastructure/311-Cases/vw6y-z8j6</w:t>
      </w:r>
    </w:p>
    <w:p>
      <w:r>
        <w:rPr>
          <w:b w:val="0"/>
          <w:i/>
        </w:rPr>
        <w:t>Citation: https://www.cslb.ca.gov/onlineservices/dataportal/ListByCounty</w:t>
      </w:r>
    </w:p>
    <w:p>
      <w:r>
        <w:rPr>
          <w:b/>
          <w:sz w:val="26"/>
        </w:rPr>
        <w:t>4.2 The big gap — LBE directory is not on Socrata</w:t>
      </w:r>
    </w:p>
    <w:p>
      <w:r>
        <w:t>SF does not publish the LBE certified-firms list as a queryable Socrata dataset. The only public surface is the SF City Partner web search at sfcitypartner.sfgov.org/pages/LBESearch. CMD publishes periodic PDF rosters of certified firms but does not expose an API.</w:t>
      </w:r>
    </w:p>
    <w:p>
      <w:r>
        <w:t>This is the single most important data gap. Without an LBE-certified-firms dataset, we cannot do the equivalent of the NYC SBS M/WBE Directory join (ci93-uc8s) that drives our demographic-equity component. Three options to close this gap:</w:t>
      </w:r>
    </w:p>
    <w:p>
      <w:pPr>
        <w:pStyle w:val="ListNumber"/>
      </w:pPr>
      <w:r>
        <w:t>Request a CSV export directly from CMD Director Regina Chan (most professional path).</w:t>
      </w:r>
    </w:p>
    <w:p>
      <w:pPr>
        <w:pStyle w:val="ListNumber"/>
      </w:pPr>
      <w:r>
        <w:t>Web-scrape the SF City Partner LBE search programmatically (~1,400 firms, doable in a day).</w:t>
      </w:r>
    </w:p>
    <w:p>
      <w:pPr>
        <w:pStyle w:val="ListNumber"/>
      </w:pPr>
      <w:r>
        <w:t>Combine: scrape for v1 to unblock development, then formalize a CSV export via CMD once we have a pilot partner.</w:t>
      </w:r>
    </w:p>
    <w:p>
      <w:r>
        <w:rPr>
          <w:b w:val="0"/>
          <w:i/>
        </w:rPr>
        <w:t>Citation: https://sfcitypartner.sfgov.org/pages/LBESearch/supplier-search.aspx</w:t>
      </w:r>
    </w:p>
    <w:p>
      <w:r>
        <w:rPr>
          <w:b w:val="0"/>
          <w:i/>
        </w:rPr>
        <w:t>Citation: https://sfgov.org/cmd/search-our-online-directory-certified-firms</w:t>
      </w:r>
    </w:p>
    <w:p>
      <w:r>
        <w:rPr>
          <w:b/>
          <w:sz w:val="26"/>
        </w:rPr>
        <w:t>4.3 Caution on dataset IDs we did not verify</w:t>
      </w:r>
    </w:p>
    <w:p>
      <w:r>
        <w:t>During research we found references in some third-party blog posts to a dataset y8fp-fbf5 as the "LBE directory." That dataset ID actually returns 2014 SFO Customer Survey data, not LBE certification. Verify everything against the live DataSF page before integrating.</w:t>
      </w:r>
    </w:p>
    <w:p>
      <w:r>
        <w:rPr>
          <w:b/>
          <w:sz w:val="32"/>
        </w:rPr>
        <w:t>5. How the matrix changes for SF</w:t>
      </w:r>
    </w:p>
    <w:p>
      <w:r>
        <w:rPr>
          <w:b/>
          <w:sz w:val="26"/>
        </w:rPr>
        <w:t>5.1 New weight assignment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Component</w:t>
            </w:r>
          </w:p>
        </w:tc>
        <w:tc>
          <w:tcPr>
            <w:tcW w:type="dxa" w:w="2160"/>
          </w:tcPr>
          <w:p>
            <w:r/>
            <w:r>
              <w:rPr>
                <w:b/>
              </w:rPr>
              <w:t>NYC weight</w:t>
            </w:r>
          </w:p>
        </w:tc>
        <w:tc>
          <w:tcPr>
            <w:tcW w:type="dxa" w:w="2160"/>
          </w:tcPr>
          <w:p>
            <w:r/>
            <w:r>
              <w:rPr>
                <w:b/>
              </w:rPr>
              <w:t>SF weight</w:t>
            </w:r>
          </w:p>
        </w:tc>
        <w:tc>
          <w:tcPr>
            <w:tcW w:type="dxa" w:w="2160"/>
          </w:tcPr>
          <w:p>
            <w:r/>
            <w:r>
              <w:rPr>
                <w:b/>
              </w:rPr>
              <w:t>Rationale</w:t>
            </w:r>
          </w:p>
        </w:tc>
      </w:tr>
      <w:tr>
        <w:tc>
          <w:tcPr>
            <w:tcW w:type="dxa" w:w="2160"/>
          </w:tcPr>
          <w:p>
            <w:r/>
            <w:r>
              <w:t>Workload balance</w:t>
            </w:r>
          </w:p>
        </w:tc>
        <w:tc>
          <w:tcPr>
            <w:tcW w:type="dxa" w:w="2160"/>
          </w:tcPr>
          <w:p>
            <w:r/>
            <w:r>
              <w:t>22</w:t>
            </w:r>
          </w:p>
        </w:tc>
        <w:tc>
          <w:tcPr>
            <w:tcW w:type="dxa" w:w="2160"/>
          </w:tcPr>
          <w:p>
            <w:r/>
            <w:r>
              <w:t>20</w:t>
            </w:r>
          </w:p>
        </w:tc>
        <w:tc>
          <w:tcPr>
            <w:tcW w:type="dxa" w:w="2160"/>
          </w:tcPr>
          <w:p>
            <w:r/>
            <w:r>
              <w:t>Slightly lower; smaller city = fewer competing tickets per firm</w:t>
            </w:r>
          </w:p>
        </w:tc>
      </w:tr>
      <w:tr>
        <w:tc>
          <w:tcPr>
            <w:tcW w:type="dxa" w:w="2160"/>
          </w:tcPr>
          <w:p>
            <w:r/>
            <w:r>
              <w:t>Overlooked-but-qualified</w:t>
            </w:r>
          </w:p>
        </w:tc>
        <w:tc>
          <w:tcPr>
            <w:tcW w:type="dxa" w:w="2160"/>
          </w:tcPr>
          <w:p>
            <w:r/>
            <w:r>
              <w:t>18</w:t>
            </w:r>
          </w:p>
        </w:tc>
        <w:tc>
          <w:tcPr>
            <w:tcW w:type="dxa" w:w="2160"/>
          </w:tcPr>
          <w:p>
            <w:r/>
            <w:r>
              <w:t>16</w:t>
            </w:r>
          </w:p>
        </w:tc>
        <w:tc>
          <w:tcPr>
            <w:tcW w:type="dxa" w:w="2160"/>
          </w:tcPr>
          <w:p>
            <w:r/>
            <w:r>
              <w:t>Smaller vendor universe, less hidden inventory</w:t>
            </w:r>
          </w:p>
        </w:tc>
      </w:tr>
      <w:tr>
        <w:tc>
          <w:tcPr>
            <w:tcW w:type="dxa" w:w="2160"/>
          </w:tcPr>
          <w:p>
            <w:r/>
            <w:r>
              <w:t>Direct-purchase eligibility (3-08)</w:t>
            </w:r>
          </w:p>
        </w:tc>
        <w:tc>
          <w:tcPr>
            <w:tcW w:type="dxa" w:w="2160"/>
          </w:tcPr>
          <w:p>
            <w:r/>
            <w:r>
              <w:t>15</w:t>
            </w:r>
          </w:p>
        </w:tc>
        <w:tc>
          <w:tcPr>
            <w:tcW w:type="dxa" w:w="2160"/>
          </w:tcPr>
          <w:p>
            <w:r/>
            <w:r>
              <w:t>0</w:t>
            </w:r>
          </w:p>
        </w:tc>
        <w:tc>
          <w:tcPr>
            <w:tcW w:type="dxa" w:w="2160"/>
          </w:tcPr>
          <w:p>
            <w:r/>
            <w:r>
              <w:t>REMOVED — no SF analog</w:t>
            </w:r>
          </w:p>
        </w:tc>
      </w:tr>
      <w:tr>
        <w:tc>
          <w:tcPr>
            <w:tcW w:type="dxa" w:w="2160"/>
          </w:tcPr>
          <w:p>
            <w:r/>
            <w:r>
              <w:t>NEW: Set-aside / bid-discount elig.</w:t>
            </w:r>
          </w:p>
        </w:tc>
        <w:tc>
          <w:tcPr>
            <w:tcW w:type="dxa" w:w="2160"/>
          </w:tcPr>
          <w:p>
            <w:r/>
            <w:r>
              <w:t>—</w:t>
            </w:r>
          </w:p>
        </w:tc>
        <w:tc>
          <w:tcPr>
            <w:tcW w:type="dxa" w:w="2160"/>
          </w:tcPr>
          <w:p>
            <w:r/>
            <w:r>
              <w:t>18</w:t>
            </w:r>
          </w:p>
        </w:tc>
        <w:tc>
          <w:tcPr>
            <w:tcW w:type="dxa" w:w="2160"/>
          </w:tcPr>
          <w:p>
            <w:r/>
            <w:r>
              <w:t>Reward firms eligible for Micro-LBE set-aside + 10% LBE bid discount; the actual policy lever in SF</w:t>
            </w:r>
          </w:p>
        </w:tc>
      </w:tr>
      <w:tr>
        <w:tc>
          <w:tcPr>
            <w:tcW w:type="dxa" w:w="2160"/>
          </w:tcPr>
          <w:p>
            <w:r/>
            <w:r>
              <w:t>Demographic equity</w:t>
            </w:r>
          </w:p>
        </w:tc>
        <w:tc>
          <w:tcPr>
            <w:tcW w:type="dxa" w:w="2160"/>
          </w:tcPr>
          <w:p>
            <w:r/>
            <w:r>
              <w:t>15</w:t>
            </w:r>
          </w:p>
        </w:tc>
        <w:tc>
          <w:tcPr>
            <w:tcW w:type="dxa" w:w="2160"/>
          </w:tcPr>
          <w:p>
            <w:r/>
            <w:r>
              <w:t>15</w:t>
            </w:r>
          </w:p>
        </w:tc>
        <w:tc>
          <w:tcPr>
            <w:tcW w:type="dxa" w:w="2160"/>
          </w:tcPr>
          <w:p>
            <w:r/>
            <w:r>
              <w:t>Keep. Pull from CalCERT MBE/WBE + SBA 8(a) cross-walked to LBE certification</w:t>
            </w:r>
          </w:p>
        </w:tc>
      </w:tr>
      <w:tr>
        <w:tc>
          <w:tcPr>
            <w:tcW w:type="dxa" w:w="2160"/>
          </w:tcPr>
          <w:p>
            <w:r/>
            <w:r>
              <w:t>Proximity</w:t>
            </w:r>
          </w:p>
        </w:tc>
        <w:tc>
          <w:tcPr>
            <w:tcW w:type="dxa" w:w="2160"/>
          </w:tcPr>
          <w:p>
            <w:r/>
            <w:r>
              <w:t>13</w:t>
            </w:r>
          </w:p>
        </w:tc>
        <w:tc>
          <w:tcPr>
            <w:tcW w:type="dxa" w:w="2160"/>
          </w:tcPr>
          <w:p>
            <w:r/>
            <w:r>
              <w:t>10</w:t>
            </w:r>
          </w:p>
        </w:tc>
        <w:tc>
          <w:tcPr>
            <w:tcW w:type="dxa" w:w="2160"/>
          </w:tcPr>
          <w:p>
            <w:r/>
            <w:r>
              <w:t>SF is geographically tiny (~47 sq mi); proximity has less variance</w:t>
            </w:r>
          </w:p>
        </w:tc>
      </w:tr>
      <w:tr>
        <w:tc>
          <w:tcPr>
            <w:tcW w:type="dxa" w:w="2160"/>
          </w:tcPr>
          <w:p>
            <w:r/>
            <w:r>
              <w:t>NEW: HQ-in-SF / local</w:t>
            </w:r>
          </w:p>
        </w:tc>
        <w:tc>
          <w:tcPr>
            <w:tcW w:type="dxa" w:w="2160"/>
          </w:tcPr>
          <w:p>
            <w:r/>
            <w:r>
              <w:t>—</w:t>
            </w:r>
          </w:p>
        </w:tc>
        <w:tc>
          <w:tcPr>
            <w:tcW w:type="dxa" w:w="2160"/>
          </w:tcPr>
          <w:p>
            <w:r/>
            <w:r>
              <w:t>8</w:t>
            </w:r>
          </w:p>
        </w:tc>
        <w:tc>
          <w:tcPr>
            <w:tcW w:type="dxa" w:w="2160"/>
          </w:tcPr>
          <w:p>
            <w:r/>
            <w:r>
              <w:t>14B definition of LBE *requires* SF HQ; partial credit for PUC-LBE (water-system service area)</w:t>
            </w:r>
          </w:p>
        </w:tc>
      </w:tr>
      <w:tr>
        <w:tc>
          <w:tcPr>
            <w:tcW w:type="dxa" w:w="2160"/>
          </w:tcPr>
          <w:p>
            <w:r/>
            <w:r>
              <w:t>Reliability</w:t>
            </w:r>
          </w:p>
        </w:tc>
        <w:tc>
          <w:tcPr>
            <w:tcW w:type="dxa" w:w="2160"/>
          </w:tcPr>
          <w:p>
            <w:r/>
            <w:r>
              <w:t>10</w:t>
            </w:r>
          </w:p>
        </w:tc>
        <w:tc>
          <w:tcPr>
            <w:tcW w:type="dxa" w:w="2160"/>
          </w:tcPr>
          <w:p>
            <w:r/>
            <w:r>
              <w:t>8</w:t>
            </w:r>
          </w:p>
        </w:tc>
        <w:tc>
          <w:tcPr>
            <w:tcW w:type="dxa" w:w="2160"/>
          </w:tcPr>
          <w:p>
            <w:r/>
            <w:r>
              <w:t>Pull from Supplier Contracts pmt_amt / agreed_amt ratio</w:t>
            </w:r>
          </w:p>
        </w:tc>
      </w:tr>
      <w:tr>
        <w:tc>
          <w:tcPr>
            <w:tcW w:type="dxa" w:w="2160"/>
          </w:tcPr>
          <w:p>
            <w:r/>
            <w:r>
              <w:t>Capability</w:t>
            </w:r>
          </w:p>
        </w:tc>
        <w:tc>
          <w:tcPr>
            <w:tcW w:type="dxa" w:w="2160"/>
          </w:tcPr>
          <w:p>
            <w:r/>
            <w:r>
              <w:t>4</w:t>
            </w:r>
          </w:p>
        </w:tc>
        <w:tc>
          <w:tcPr>
            <w:tcW w:type="dxa" w:w="2160"/>
          </w:tcPr>
          <w:p>
            <w:r/>
            <w:r>
              <w:t>3</w:t>
            </w:r>
          </w:p>
        </w:tc>
        <w:tc>
          <w:tcPr>
            <w:tcW w:type="dxa" w:w="2160"/>
          </w:tcPr>
          <w:p>
            <w:r/>
            <w:r>
              <w:t>Lower bar — smaller pool means less filter</w:t>
            </w:r>
          </w:p>
        </w:tc>
      </w:tr>
      <w:tr>
        <w:tc>
          <w:tcPr>
            <w:tcW w:type="dxa" w:w="2160"/>
          </w:tcPr>
          <w:p>
            <w:r/>
            <w:r>
              <w:t>Capacity headroom</w:t>
            </w:r>
          </w:p>
        </w:tc>
        <w:tc>
          <w:tcPr>
            <w:tcW w:type="dxa" w:w="2160"/>
          </w:tcPr>
          <w:p>
            <w:r/>
            <w:r>
              <w:t>3</w:t>
            </w:r>
          </w:p>
        </w:tc>
        <w:tc>
          <w:tcPr>
            <w:tcW w:type="dxa" w:w="2160"/>
          </w:tcPr>
          <w:p>
            <w:r/>
            <w:r>
              <w:t>2</w:t>
            </w:r>
          </w:p>
        </w:tc>
        <w:tc>
          <w:tcPr>
            <w:tcW w:type="dxa" w:w="2160"/>
          </w:tcPr>
          <w:p>
            <w:r/>
            <w:r>
              <w:t>Same idea</w:t>
            </w:r>
          </w:p>
        </w:tc>
      </w:tr>
    </w:tbl>
    <w:p>
      <w:r>
        <w:rPr>
          <w:b/>
          <w:i w:val="0"/>
        </w:rPr>
        <w:t>Total: 100 points.</w:t>
      </w:r>
    </w:p>
    <w:p>
      <w:r>
        <w:rPr>
          <w:b/>
          <w:sz w:val="26"/>
        </w:rPr>
        <w:t>5.2 The two new components in detail</w:t>
      </w:r>
    </w:p>
    <w:p>
      <w:pPr>
        <w:pStyle w:val="ListBullet"/>
      </w:pPr>
      <w:r>
        <w:t>Set-aside / bid-discount eligibility (18 pts): a firm scores full if certified Micro-LBE and the work falls under the $600K set-aside threshold. Half credit if certified LBE/SBA-LBE and eligible only for the 10% bid discount. Zero if not certified.</w:t>
      </w:r>
    </w:p>
    <w:p>
      <w:pPr>
        <w:pStyle w:val="ListBullet"/>
      </w:pPr>
      <w:r>
        <w:t>HQ-in-SF / local (8 pts): full if firm has SF business HQ per Registered Business Locations dataset (g8m3-pdis). Partial credit if certified PUC-LBE (water-system service area).</w:t>
      </w:r>
    </w:p>
    <w:p>
      <w:r>
        <w:rPr>
          <w:b/>
          <w:sz w:val="26"/>
        </w:rPr>
        <w:t>5.3 Modeling the bid discount explicitly</w:t>
      </w:r>
    </w:p>
    <w:p>
      <w:r>
        <w:t>Where NYC's matrix outputs a binary "eligible for direct purchase," SF's should output a synthesized "effective bid" = nominal bid × (1 − discount where applicable). This lets the ranking surface account for the 10% LBE discount and any additional SBA-LBE bumps. The output becomes: "vendor X's effective bid is $42,000 after the 10% LBE discount; vendor Y's is $45,000 — vendor X wins under existing law."</w:t>
      </w:r>
    </w:p>
    <w:p>
      <w:r>
        <w:rPr>
          <w:b/>
          <w:sz w:val="26"/>
        </w:rPr>
        <w:t>5.4 Proximity scoring change</w:t>
      </w:r>
    </w:p>
    <w:p>
      <w:r>
        <w:t>NYC uses haversine distance with a 10-mile radius. SF should switch to supervisor-district-match scoring: full points if vendor and complaint share the same supervisor district, half if adjacent, zero otherwise. This is more politically legible than miles in a 47-sq-mi city, and aligns with how SF Public Works actually thinks about coverage.</w:t>
      </w:r>
    </w:p>
    <w:p>
      <w:r>
        <w:rPr>
          <w:b/>
          <w:sz w:val="32"/>
        </w:rPr>
        <w:t>6. Impact estimate — sidewalk repair v1</w:t>
      </w:r>
    </w:p>
    <w:p>
      <w:r>
        <w:rPr>
          <w:b/>
          <w:sz w:val="26"/>
        </w:rPr>
        <w:t>6.1 The arithmetic</w:t>
      </w:r>
    </w:p>
    <w:p>
      <w:r>
        <w:t>DPW's FY25-26 capital budget is $87.3M (resurfacing, curb ramps, sidewalk, pothole) plus $384M operating. The sidewalk-repair-only carve-out from public bid documents and SIRP advertisements is approximately $30-$40M/year in eligible work orders. Using $35M as the midpoint:</w:t>
      </w:r>
    </w:p>
    <w:p>
      <w:r>
        <w:rPr>
          <w:rFonts w:ascii="Consolas" w:hAnsi="Consolas"/>
          <w:sz w:val="20"/>
        </w:rPr>
        <w:t xml:space="preserve">  Annual SIRP volume:             $35,000,000</w:t>
      </w:r>
    </w:p>
    <w:p>
      <w:r>
        <w:rPr>
          <w:rFonts w:ascii="Consolas" w:hAnsi="Consolas"/>
          <w:sz w:val="20"/>
        </w:rPr>
        <w:t xml:space="preserve">  Incumbent share (top 3 primes): ~70%</w:t>
      </w:r>
    </w:p>
    <w:p>
      <w:r>
        <w:rPr>
          <w:rFonts w:ascii="Consolas" w:hAnsi="Consolas"/>
          <w:sz w:val="20"/>
        </w:rPr>
        <w:t xml:space="preserve">  Redirectable to LBE:            ~25%</w:t>
      </w:r>
    </w:p>
    <w:p>
      <w:r>
        <w:rPr>
          <w:rFonts w:ascii="Consolas" w:hAnsi="Consolas"/>
          <w:sz w:val="20"/>
        </w:rPr>
        <w:t xml:space="preserve">  Annual redirected $:            $35M × 70% × 25%  =  $6.1M</w:t>
      </w:r>
    </w:p>
    <w:p>
      <w:r>
        <w:rPr>
          <w:rFonts w:ascii="Consolas" w:hAnsi="Consolas"/>
          <w:sz w:val="20"/>
        </w:rPr>
        <w:t xml:space="preserve">  LBE C-8 firms surfaced:         80-150</w:t>
      </w:r>
    </w:p>
    <w:p>
      <w:r>
        <w:rPr>
          <w:rFonts w:ascii="Consolas" w:hAnsi="Consolas"/>
          <w:sz w:val="20"/>
        </w:rPr>
        <w:t xml:space="preserve">  Average uplift per firm:        $40,000 - $75,000 / year</w:t>
      </w:r>
    </w:p>
    <w:p>
      <w:r>
        <w:rPr>
          <w:b w:val="0"/>
          <w:i/>
        </w:rPr>
        <w:t>Citation: https://sfpublicworks.org/about/budget</w:t>
      </w:r>
    </w:p>
    <w:p>
      <w:r>
        <w:rPr>
          <w:b/>
          <w:sz w:val="26"/>
        </w:rPr>
        <w:t>6.2 The conservative framing</w:t>
      </w:r>
    </w:p>
    <w:p>
      <w:r>
        <w:t>We are deliberately conservative on the redirection share (25% vs 30% in NYC) because SF's smaller LBE pool and the existing 23% SIRP subcontracting goal already absorb some of the addressable redistribution. The marginal redirection our tool unlocks is what sits between the existing 23% goal and the realistic 25-30% target.</w:t>
      </w:r>
    </w:p>
    <w:p>
      <w:r>
        <w:rPr>
          <w:b/>
          <w:sz w:val="26"/>
        </w:rPr>
        <w:t>6.3 The stretch case</w:t>
      </w:r>
    </w:p>
    <w:p>
      <w:r>
        <w:t>Adding tree maintenance v2 (StreetTreeSF M03 contract) brings in roughly another $5M/year redirectable across ~30 D-49 arborist firms, since the 14B goal is currently waived on most tree contracts. Total v1+v2 redirectable: ~$11M/year across ~120-180 firms.</w:t>
      </w:r>
    </w:p>
    <w:p>
      <w:r>
        <w:rPr>
          <w:b/>
          <w:sz w:val="32"/>
        </w:rPr>
        <w:t>7. The asks of SF government officials, prioritized</w:t>
      </w:r>
    </w:p>
    <w:p>
      <w:r>
        <w:rPr>
          <w:b/>
          <w:sz w:val="26"/>
        </w:rPr>
        <w:t>7.1 Pilot commitment (highest leverage)</w:t>
      </w:r>
    </w:p>
    <w:p>
      <w:r>
        <w:rPr>
          <w:b w:val="0"/>
          <w:i/>
        </w:rPr>
        <w:t>Owner: DPW Director Carla Short + DPW Bureau of Street-Use &amp; Mapping lead</w:t>
      </w:r>
    </w:p>
    <w:p>
      <w:r>
        <w:t>Specific ask: a 90-day pilot using the tool for SIRP work-order assignment in one DPW district. Success criteria: ≥ 30 dispatches through the tool, ≥ 40% routed to Micro-LBE or LBE firms, ≥ 80% citizen satisfaction at 30-day check-in. The Controller's 2024 assessment specifically flagged the SIRP pre-qualified pool as a fraud-risk area — the tool is the recommended fix.</w:t>
      </w:r>
    </w:p>
    <w:p>
      <w:r>
        <w:rPr>
          <w:b/>
          <w:sz w:val="26"/>
        </w:rPr>
        <w:t>7.2 Letter of support and policy cover</w:t>
      </w:r>
    </w:p>
    <w:p>
      <w:r>
        <w:rPr>
          <w:b w:val="0"/>
          <w:i/>
        </w:rPr>
        <w:t>Owner: City Administrator Carmen Chu + Deputy CA Stephanie Tang</w:t>
      </w:r>
    </w:p>
    <w:p>
      <w:r>
        <w:t>Stephanie Tang, appointed June 2025, oversees CMD post-2024 amendments. Her endorsement is decisive for any 14B-touching initiative. Carmen Chu's public support gives political cover across departments.</w:t>
      </w:r>
    </w:p>
    <w:p>
      <w:r>
        <w:rPr>
          <w:b w:val="0"/>
          <w:i/>
        </w:rPr>
        <w:t>Citation: https://www.sf.gov/news--city-administrator-carmen-chu-announces-two-new-appointments</w:t>
      </w:r>
    </w:p>
    <w:p>
      <w:r>
        <w:rPr>
          <w:b/>
          <w:sz w:val="26"/>
        </w:rPr>
        <w:t>7.3 CMD cooperation on the LBE directory</w:t>
      </w:r>
    </w:p>
    <w:p>
      <w:r>
        <w:rPr>
          <w:b w:val="0"/>
          <w:i/>
        </w:rPr>
        <w:t>Owner: CMD Director Regina Chan</w:t>
      </w:r>
    </w:p>
    <w:p>
      <w:r>
        <w:t>Without CMD's cooperation we either scrape the public web directory (~1,400 firms — technically simple but politically risky) or work without an authoritative LBE list. The professional path is a CSV export with quarterly refresh. Even an API request to CMD would be a strong precedent for other equity tools.</w:t>
      </w:r>
    </w:p>
    <w:p>
      <w:r>
        <w:rPr>
          <w:b/>
          <w:sz w:val="26"/>
        </w:rPr>
        <w:t>7.4 Controller's Office data access</w:t>
      </w:r>
    </w:p>
    <w:p>
      <w:r>
        <w:rPr>
          <w:b w:val="0"/>
          <w:i/>
        </w:rPr>
        <w:t>Owner: Greg Wagner, SF Controller</w:t>
      </w:r>
    </w:p>
    <w:p>
      <w:r>
        <w:t>SFOpenBook covers most of what we need at the voucher level, but sub-$10K payments may not fully roll up to the public dataset. The Controller's Office is the political ally most aligned with our equity-transparency framing — they wrote the 2024 PIR. They may also sponsor the pilot independently if DPW is slow.</w:t>
      </w:r>
    </w:p>
    <w:p>
      <w:r>
        <w:rPr>
          <w:b/>
          <w:sz w:val="26"/>
        </w:rPr>
        <w:t>7.5 Legal review</w:t>
      </w:r>
    </w:p>
    <w:p>
      <w:r>
        <w:rPr>
          <w:b w:val="0"/>
          <w:i/>
        </w:rPr>
        <w:t>Owner: City Attorney David Chiu</w:t>
      </w:r>
    </w:p>
    <w:p>
      <w:r>
        <w:t>Post-Coral Construction, SF 14B is race-neutral. Any methodology that surfaces MBE/WBE has to thread the legal needle. We need written guidance on (a) whether we can display state MBE/WBE certification status alongside LBE in our matrix output, and (b) whether the matrix's synthetic "effective bid" calculation creates any legal exposure for vendors who are not surfaced.</w:t>
      </w:r>
    </w:p>
    <w:p>
      <w:r>
        <w:rPr>
          <w:b/>
          <w:sz w:val="26"/>
        </w:rPr>
        <w:t>7.6 Civic Bridge engagement slot</w:t>
      </w:r>
    </w:p>
    <w:p>
      <w:r>
        <w:rPr>
          <w:b w:val="0"/>
          <w:i/>
        </w:rPr>
        <w:t>Owner: Mayor's Office of Civic Innovation (MOCI)</w:t>
      </w:r>
    </w:p>
    <w:p>
      <w:r>
        <w:t>Civic Bridge is SF's 16-week pro-bono engagement program pairing civic-tech volunteers with city departments. This is the canonical institutional channel for a tool like ours. An accepted Civic Bridge engagement effectively gives us a department partner, a defined timeline, and political legitimacy in one move.</w:t>
      </w:r>
    </w:p>
    <w:p>
      <w:r>
        <w:rPr>
          <w:b w:val="0"/>
          <w:i/>
        </w:rPr>
        <w:t>Citation: https://www.sf.gov/civic-bridge</w:t>
      </w:r>
    </w:p>
    <w:p>
      <w:r>
        <w:rPr>
          <w:b/>
          <w:sz w:val="26"/>
        </w:rPr>
        <w:t>7.7 Lower-priority asks for later phases</w:t>
      </w:r>
    </w:p>
    <w:p>
      <w:pPr>
        <w:pStyle w:val="ListBullet"/>
      </w:pPr>
      <w:r>
        <w:t>SF.gov SSO integration for agency staff — only needed once the pilot expands beyond a single department.</w:t>
      </w:r>
    </w:p>
    <w:p>
      <w:pPr>
        <w:pStyle w:val="ListBullet"/>
      </w:pPr>
      <w:r>
        <w:t>Grant funding — possibly via the Lurie administration's small-business initiative, possibly via CMD's 14B implementation budget.</w:t>
      </w:r>
    </w:p>
    <w:p>
      <w:pPr>
        <w:pStyle w:val="ListBullet"/>
      </w:pPr>
      <w:r>
        <w:t>Press/comms support around the equity-impact dashboard, once we have real dispatch data to report.</w:t>
      </w:r>
    </w:p>
    <w:p>
      <w:r>
        <w:rPr>
          <w:b/>
          <w:sz w:val="32"/>
        </w:rPr>
        <w:t>8. Other SF-specific context worth knowing</w:t>
      </w:r>
    </w:p>
    <w:p>
      <w:r>
        <w:rPr>
          <w:b/>
          <w:sz w:val="26"/>
        </w:rPr>
        <w:t>8.1 The streetlight ownership split</w:t>
      </w:r>
    </w:p>
    <w:p>
      <w:r>
        <w:t>SFPUC owns and maintains 22,000 of SF's 43,000 streetlights. PG&amp;E owns the other 21,000 on utility poles. There is no third-party contractor maintenance market. This is why we pivot off streetlights as the v1 target.</w:t>
      </w:r>
    </w:p>
    <w:p>
      <w:r>
        <w:rPr>
          <w:b w:val="0"/>
          <w:i/>
        </w:rPr>
        <w:t>Citation: https://www.nbcbayarea.com/news/local/san-francisco-pge-split/4061032/</w:t>
      </w:r>
    </w:p>
    <w:p>
      <w:r>
        <w:rPr>
          <w:b/>
          <w:sz w:val="26"/>
        </w:rPr>
        <w:t>8.2 Civic-tech precedents</w:t>
      </w:r>
    </w:p>
    <w:p>
      <w:pPr>
        <w:pStyle w:val="ListBullet"/>
      </w:pPr>
      <w:r>
        <w:t>Civic Bridge — Mayor's Office of Civic Innovation, 16-week pro-bono cohorts. Still active in 2025-26.</w:t>
      </w:r>
    </w:p>
    <w:p>
      <w:pPr>
        <w:pStyle w:val="ListBullet"/>
      </w:pPr>
      <w:r>
        <w:t>SFMOCI github at github.com/SFMOCI — open-source repos from city innovation projects.</w:t>
      </w:r>
    </w:p>
    <w:p>
      <w:pPr>
        <w:pStyle w:val="ListBullet"/>
      </w:pPr>
      <w:r>
        <w:t>innovatesf.com (MOCI portfolio site) — past projects worth surveying for tone and patterns.</w:t>
      </w:r>
    </w:p>
    <w:p>
      <w:pPr>
        <w:pStyle w:val="ListBullet"/>
      </w:pPr>
      <w:r>
        <w:t>Code for America's SF-based projects — useful precedent for civic-tech engagement frameworks.</w:t>
      </w:r>
    </w:p>
    <w:p>
      <w:r>
        <w:rPr>
          <w:b/>
          <w:sz w:val="26"/>
        </w:rPr>
        <w:t>8.3 The 2025 Board of Supervisors resolution</w:t>
      </w:r>
    </w:p>
    <w:p>
      <w:r>
        <w:t>In early 2025 Supervisor Walton (D10) led a unanimous Board of Supervisors resolution reaffirming citywide commitment to 14B following the December 2024 amendments. Political support is broad and bipartisan. There is no organized opposition to LBE-favoring procurement.</w:t>
      </w:r>
    </w:p>
    <w:p>
      <w:r>
        <w:rPr>
          <w:b w:val="0"/>
          <w:i/>
        </w:rPr>
        <w:t>Citation: https://www.bonnercommunications.com/sf-14b-lbe-program</w:t>
      </w:r>
    </w:p>
    <w:p>
      <w:r>
        <w:rPr>
          <w:b/>
          <w:sz w:val="26"/>
        </w:rPr>
        <w:t>8.4 The current administration's posture on procurement</w:t>
      </w:r>
    </w:p>
    <w:p>
      <w:r>
        <w:t>Mayor Lurie's administration has not yet released a specific procurement-reform agenda beyond the small-business permit narrative. This is opportunity, not constraint — we can help shape the framing rather than fitting into an existing one. The Controller's 2024 PIR remains the most concrete policy document driving procurement reform at the moment.</w:t>
      </w:r>
    </w:p>
    <w:p>
      <w:r>
        <w:rPr>
          <w:b/>
          <w:sz w:val="32"/>
        </w:rPr>
        <w:t>9. What we still need to validate</w:t>
      </w:r>
    </w:p>
    <w:p>
      <w:pPr>
        <w:pStyle w:val="ListNumber"/>
      </w:pPr>
      <w:r>
        <w:t>Confirm with CMD that the post-2024 LBE certification flow is stable. The transfer from HRC to CMD only completed in early 2025; we want to make sure the certified-firms list is settled before we build on it.</w:t>
      </w:r>
    </w:p>
    <w:p>
      <w:pPr>
        <w:pStyle w:val="ListNumber"/>
      </w:pPr>
      <w:r>
        <w:t>Decide whether the Controller's Office or DPW directly is the better pilot partner. Both want this; both have political weight; only one needs to be the operational owner.</w:t>
      </w:r>
    </w:p>
    <w:p>
      <w:pPr>
        <w:pStyle w:val="ListNumber"/>
      </w:pPr>
      <w:r>
        <w:t>Determine whether SF's 311 system exposes a write API (the way NYC 311 does for some categories) so that complaints submitted through our tool can route into the official 311 queue, or whether we operate as a parallel intake.</w:t>
      </w:r>
    </w:p>
    <w:p>
      <w:pPr>
        <w:pStyle w:val="ListNumber"/>
      </w:pPr>
      <w:r>
        <w:t>Verify the CSLB C-8 license bulk export is current and complete for SF county. (Should be — but verify before promising the vendor pool.)</w:t>
      </w:r>
    </w:p>
    <w:p>
      <w:pPr>
        <w:pStyle w:val="ListNumber"/>
      </w:pPr>
      <w:r>
        <w:t>Surface any 2024-2026 SFMTA or DPW audits of pavement/asphalt contract concentration. If concentration in those categories is similar to NYC streetlights, our matrix's second SF use case becomes much stronger.</w:t>
      </w:r>
    </w:p>
    <w:p>
      <w:pPr>
        <w:pStyle w:val="ListNumber"/>
      </w:pPr>
      <w:r>
        <w:t>Sort out the question of citizen access. NYC's tool is public-facing — anyone can submit a complaint. SF's equivalent might need to start as an agency-staff-only tool given the Controller's public-integrity framing, then open up later.</w:t>
      </w:r>
    </w:p>
    <w:p>
      <w:r>
        <w:rPr>
          <w:b/>
          <w:sz w:val="32"/>
        </w:rPr>
        <w:t>10. The 60-second pitch arc for an SF official</w:t>
      </w:r>
    </w:p>
    <w:p>
      <w:r>
        <w:t>When we walk into a meeting with a DPW official, a CMD officer, or someone in the City Administrator's office, this is the narrative arc we want to land:</w:t>
      </w:r>
    </w:p>
    <w:p>
      <w:pPr>
        <w:pStyle w:val="ListNumber"/>
      </w:pPr>
      <w:r>
        <w:t>San Francisco spends roughly $35M/year on sidewalk repair, concentrated among five prime contractors. The Controller's 2024 Public Integrity Review flagged this kind of pre-qualified pool as a top fraud-risk area.</w:t>
      </w:r>
    </w:p>
    <w:p>
      <w:pPr>
        <w:pStyle w:val="ListNumber"/>
      </w:pPr>
      <w:r>
        <w:t>SF Chapter 14B, as amended January 2025, gives the city two clean policy levers — a Micro-LBE construction set-aside ($600K threshold) and a 10% bid discount — to redirect work to small local certified firms.</w:t>
      </w:r>
    </w:p>
    <w:p>
      <w:pPr>
        <w:pStyle w:val="ListNumber"/>
      </w:pPr>
      <w:r>
        <w:t>We built a vendor-selection tool for NYC that operationalized their equivalent policy. It surfaces ranked, equity-weighted vendor recommendations in seconds, with full score transparency for audit defense. The same tool, ported to SF's 14B logic, would redirect approximately $6M/year of sidewalk-repair work to roughly 100 LBE-certified C-8 firms — averaging a $40K-$75K annual uplift per firm.</w:t>
      </w:r>
    </w:p>
    <w:p>
      <w:pPr>
        <w:pStyle w:val="ListNumber"/>
      </w:pPr>
      <w:r>
        <w:t>We are asking for a 90-day pilot in one DPW district. No new spending. No new mandates. Just operationalizing a rule the city already enacted, with a transparency layer the Controller's office already recommended.</w:t>
      </w:r>
    </w:p>
    <w:p>
      <w:pPr>
        <w:pStyle w:val="ListNumber"/>
      </w:pPr>
      <w:r>
        <w:t>We can be ready to start within 30 days of a verbal commitment.</w:t>
      </w:r>
    </w:p>
    <w:p>
      <w:r>
        <w:rPr>
          <w:b/>
          <w:sz w:val="32"/>
        </w:rPr>
        <w:t>11. Concrete next steps if we move forward</w:t>
      </w:r>
    </w:p>
    <w:p>
      <w:pPr>
        <w:pStyle w:val="ListNumber"/>
      </w:pPr>
      <w:r>
        <w:t>Reach out to the SF government contacts in our network. Specifically: who is on first-name basis with anyone at DPW, CMD, the Controller's Office, or MOCI? Map every contact, then decide which 1-2 we approach first.</w:t>
      </w:r>
    </w:p>
    <w:p>
      <w:pPr>
        <w:pStyle w:val="ListNumber"/>
      </w:pPr>
      <w:r>
        <w:t>Draft a one-page pitch memo (this document compressed to one page) plus a 5-slide deck. The arc above is the spine.</w:t>
      </w:r>
    </w:p>
    <w:p>
      <w:pPr>
        <w:pStyle w:val="ListNumber"/>
      </w:pPr>
      <w:r>
        <w:t>Confirm Civic Bridge's 2026 application cycle. If applications are open in the next quarter, that is our cleanest institutional path.</w:t>
      </w:r>
    </w:p>
    <w:p>
      <w:pPr>
        <w:pStyle w:val="ListNumber"/>
      </w:pPr>
      <w:r>
        <w:t>Stand up a "SF v0" branch of the codebase. The matrix component changes (Section 5) and the 14B / Micro-LBE eligibility logic can be implemented in parallel with the NYC pilot.</w:t>
      </w:r>
    </w:p>
    <w:p>
      <w:pPr>
        <w:pStyle w:val="ListNumber"/>
      </w:pPr>
      <w:r>
        <w:t>Build the LBE directory scrape proof-of-concept. Pull the sfcitypartner LBE Search results into a CSV. Use it to seed the v0 vendor pool.</w:t>
      </w:r>
    </w:p>
    <w:p>
      <w:pPr>
        <w:pStyle w:val="ListNumber"/>
      </w:pPr>
      <w:r>
        <w:t>Identify one specific DPW district as the pilot target. The Controller's 2024 PIR may have flagged one district as higher-risk than others; if so, lead there.</w:t>
      </w:r>
    </w:p>
    <w:p>
      <w:r>
        <w:rPr>
          <w:b w:val="0"/>
          <w:i/>
        </w:rPr>
        <w:t>— Nischal &amp; Mithran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