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Vendor Selection Matrix — Methodology &amp; Iteration Doc</w:t>
      </w:r>
    </w:p>
    <w:p>
      <w:r>
        <w:rPr>
          <w:b w:val="0"/>
          <w:i/>
        </w:rPr>
        <w:t>NYC Streetlight Complaint Hub  ·  Prepared 2026-05-16</w:t>
      </w:r>
    </w:p>
    <w:p>
      <w:r>
        <w:rPr>
          <w:b w:val="0"/>
          <w:i/>
        </w:rPr>
        <w:t>Audience: Prof. Shukla — review of how the matrix works, what data feeds it, and where we want input before we lock the formula.</w:t>
      </w:r>
    </w:p>
    <w:p>
      <w:r>
        <w:rPr>
          <w:b/>
          <w:sz w:val="30"/>
        </w:rPr>
        <w:t>1. The one-paragraph summary</w:t>
      </w:r>
    </w:p>
    <w:p>
      <w:r>
        <w:t>Our platform takes a single 311 streetlight complaint and recommends a ranked list of licensed electricians to dispatch. Instead of picking the five geographically closest vendors — which reinforces whoever already has the city’s contracts — we score every qualified vendor across seven weighted components, with the heaviest weights on equity-oriented signals: how often our own platform has already used them, whether they’re minority/women-owned, and whether they’ve been overlooked by the city’s existing procurement pipeline. Proximity still matters, but it’s capped at 15% of the total score so that location alone can’t lock out a qualified outer-borough underdog. This document explains the three datasets that feed the matrix, the math we run to produce per-vendor scoring inputs, and the open design questions we want to discuss before we wire the score into the live application.</w:t>
      </w:r>
    </w:p>
    <w:p>
      <w:r>
        <w:rPr>
          <w:b/>
          <w:sz w:val="30"/>
        </w:rPr>
        <w:t>2. The vendor pool — where the 1,894 candidates come from</w:t>
      </w:r>
    </w:p>
    <w:p>
      <w:r>
        <w:t>The matrix operates on a closed pool of 1,894 NYC vendors. The pool is the intersection of three hard requirements:</w:t>
      </w:r>
    </w:p>
    <w:p>
      <w:pPr>
        <w:pStyle w:val="ListBullet"/>
      </w:pPr>
      <w:r>
        <w:t>Listed on the NYC Department of Buildings Master/Special Electrician licensee roster.</w:t>
      </w:r>
    </w:p>
    <w:p>
      <w:pPr>
        <w:pStyle w:val="ListBullet"/>
      </w:pPr>
      <w:r>
        <w:t>License status is currently Active (not Suspended, Revoked, or Surrendered).</w:t>
      </w:r>
    </w:p>
    <w:p>
      <w:pPr>
        <w:pStyle w:val="ListBullet"/>
      </w:pPr>
      <w:r>
        <w:t>Has a geocoded business address inside NYC (lat/long resolved at pool-build time).</w:t>
      </w:r>
    </w:p>
    <w:p>
      <w:r>
        <w:t>These come from data/vendors_final.csv, a CSV we already ship in the repo. Every vendor in the pool is, by construction, legally capable of doing streetlight work — that filter is binary and non-negotiable. The matrix never recommends an unlicensed vendor.</w:t>
      </w:r>
    </w:p>
    <w:p>
      <w:r>
        <w:rPr>
          <w:b/>
          <w:i w:val="0"/>
        </w:rPr>
        <w:t>Pool size: 1,894 vendors  ·  Distribution roughly mirrors NYC borough density.</w:t>
      </w:r>
    </w:p>
    <w:p>
      <w:r>
        <w:rPr>
          <w:b/>
          <w:sz w:val="30"/>
        </w:rPr>
        <w:t>3. Data source #1 — Recent Contract Awards (the "incumbents" signal)</w:t>
      </w:r>
    </w:p>
    <w:p>
      <w:r>
        <w:rPr>
          <w:b w:val="0"/>
          <w:i w:val="0"/>
        </w:rPr>
        <w:t>NYC Socrata dataset qyyg-4tf5  ·  refreshed weekly by the city.</w:t>
      </w:r>
    </w:p>
    <w:p>
      <w:r>
        <w:rPr>
          <w:b/>
          <w:sz w:val="24"/>
        </w:rPr>
        <w:t>What it is</w:t>
      </w:r>
    </w:p>
    <w:p>
      <w:r>
        <w:t>A public log of every contract NYC agencies award above $20,000, with the vendor name, dollar amount, agency, start/end dates, and a short title describing the work. We pull only rows that satisfy both filters below:</w:t>
      </w:r>
    </w:p>
    <w:p>
      <w:pPr>
        <w:pStyle w:val="ListBullet"/>
      </w:pPr>
      <w:r>
        <w:t>Agency name contains "Transportation" OR "Design and Construction" (case-insensitive).</w:t>
      </w:r>
    </w:p>
    <w:p>
      <w:pPr>
        <w:pStyle w:val="ListBullet"/>
      </w:pPr>
      <w:r>
        <w:t>Short title contains LIGHT / ELECTRIC / LUMINAIRE / TRAFFIC SIGNAL / LAMP / WIRING.</w:t>
      </w:r>
    </w:p>
    <w:p>
      <w:r>
        <w:t>After both filters: 257 award rows. Joined against our 1,894-vendor pool by normalized vendor name (see §6 for the normalization spec): 12 vendors match.</w:t>
      </w:r>
    </w:p>
    <w:p>
      <w:r>
        <w:rPr>
          <w:b/>
          <w:sz w:val="24"/>
        </w:rPr>
        <w:t>What it tells us</w:t>
      </w:r>
    </w:p>
    <w:p>
      <w:r>
        <w:t>These 12 vendors are the city’s direct streetlight/electrical contractors — the “incumbents” who already have public relationships with DOT and DDC. The other 1,882 licensed vendors are either subcontracted to these primes (invisible at the city level) or never reach city work at all.</w:t>
      </w:r>
    </w:p>
    <w:p>
      <w:r>
        <w:rPr>
          <w:b/>
          <w:sz w:val="24"/>
        </w:rPr>
        <w:t>Concentration is dramatic</w:t>
      </w:r>
    </w:p>
    <w:p>
      <w:r>
        <w:rPr>
          <w:b w:val="0"/>
          <w:i/>
        </w:rPr>
        <w:t>Of the 12 vendors with any award history, two take 92% of the total dollars: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Vendor</w:t>
            </w:r>
          </w:p>
        </w:tc>
        <w:tc>
          <w:tcPr>
            <w:tcW w:type="dxa" w:w="2880"/>
          </w:tcPr>
          <w:p>
            <w:r/>
            <w:r>
              <w:rPr>
                <w:b/>
              </w:rPr>
              <w:t>Award count</w:t>
            </w:r>
          </w:p>
        </w:tc>
        <w:tc>
          <w:tcPr>
            <w:tcW w:type="dxa" w:w="2880"/>
          </w:tcPr>
          <w:p>
            <w:r/>
            <w:r>
              <w:rPr>
                <w:b/>
              </w:rPr>
              <w:t>Total dollars</w:t>
            </w:r>
          </w:p>
        </w:tc>
      </w:tr>
      <w:tr>
        <w:tc>
          <w:tcPr>
            <w:tcW w:type="dxa" w:w="2880"/>
          </w:tcPr>
          <w:p>
            <w:r/>
            <w:r>
              <w:t>WELSBACH ELECTRIC CORP (Queens)</w:t>
            </w:r>
          </w:p>
        </w:tc>
        <w:tc>
          <w:tcPr>
            <w:tcW w:type="dxa" w:w="2880"/>
          </w:tcPr>
          <w:p>
            <w:r/>
            <w:r>
              <w:t>40</w:t>
            </w:r>
          </w:p>
        </w:tc>
        <w:tc>
          <w:tcPr>
            <w:tcW w:type="dxa" w:w="2880"/>
          </w:tcPr>
          <w:p>
            <w:r/>
            <w:r>
              <w:t>$366.7M</w:t>
            </w:r>
          </w:p>
        </w:tc>
      </w:tr>
      <w:tr>
        <w:tc>
          <w:tcPr>
            <w:tcW w:type="dxa" w:w="2880"/>
          </w:tcPr>
          <w:p>
            <w:r/>
            <w:r>
              <w:t>HELLMAN ELECTRIC LLC (Bronx)</w:t>
            </w:r>
          </w:p>
        </w:tc>
        <w:tc>
          <w:tcPr>
            <w:tcW w:type="dxa" w:w="2880"/>
          </w:tcPr>
          <w:p>
            <w:r/>
            <w:r>
              <w:t>24</w:t>
            </w:r>
          </w:p>
        </w:tc>
        <w:tc>
          <w:tcPr>
            <w:tcW w:type="dxa" w:w="2880"/>
          </w:tcPr>
          <w:p>
            <w:r/>
            <w:r>
              <w:t>$235.4M</w:t>
            </w:r>
          </w:p>
        </w:tc>
      </w:tr>
      <w:tr>
        <w:tc>
          <w:tcPr>
            <w:tcW w:type="dxa" w:w="2880"/>
          </w:tcPr>
          <w:p>
            <w:r/>
            <w:r>
              <w:t>All 10 others combined</w:t>
            </w:r>
          </w:p>
        </w:tc>
        <w:tc>
          <w:tcPr>
            <w:tcW w:type="dxa" w:w="2880"/>
          </w:tcPr>
          <w:p>
            <w:r/>
            <w:r>
              <w:t>10</w:t>
            </w:r>
          </w:p>
        </w:tc>
        <w:tc>
          <w:tcPr>
            <w:tcW w:type="dxa" w:w="2880"/>
          </w:tcPr>
          <w:p>
            <w:r/>
            <w:r>
              <w:t>~$50M</w:t>
            </w:r>
          </w:p>
        </w:tc>
      </w:tr>
    </w:tbl>
    <w:p>
      <w:r>
        <w:t>This concentration is exactly the procurement pattern our matrix is designed to interrupt. It is not a bug in the data — it is the data telling us where to push back.</w:t>
      </w:r>
    </w:p>
    <w:p>
      <w:r>
        <w:rPr>
          <w:b/>
          <w:sz w:val="24"/>
        </w:rPr>
        <w:t>What we compute per vendor from this dataset</w:t>
      </w:r>
    </w:p>
    <w:p>
      <w:pPr>
        <w:pStyle w:val="ListBullet"/>
      </w:pPr>
      <w:r>
        <w:t>awardsTotalCount — lifetime count of qualifying awards</w:t>
      </w:r>
    </w:p>
    <w:p>
      <w:pPr>
        <w:pStyle w:val="ListBullet"/>
      </w:pPr>
      <w:r>
        <w:t>awardsTotalAmount — lifetime dollars</w:t>
      </w:r>
    </w:p>
    <w:p>
      <w:pPr>
        <w:pStyle w:val="ListBullet"/>
      </w:pPr>
      <w:r>
        <w:t>awardsLast12moCount and awardsLast12moAmount — recency window</w:t>
      </w:r>
    </w:p>
    <w:p>
      <w:pPr>
        <w:pStyle w:val="ListBullet"/>
      </w:pPr>
      <w:r>
        <w:t>awardsLast5yrCount — used as the headline "is this an active incumbent?" signal</w:t>
      </w:r>
    </w:p>
    <w:p>
      <w:pPr>
        <w:pStyle w:val="ListBullet"/>
      </w:pPr>
      <w:r>
        <w:t>largestAward — used as a capacity proxy</w:t>
      </w:r>
    </w:p>
    <w:p>
      <w:pPr>
        <w:pStyle w:val="ListBullet"/>
      </w:pPr>
      <w:r>
        <w:t>agenciesServed — distinct agencies they’ve worked with (DOT, DDC, etc.)</w:t>
      </w:r>
    </w:p>
    <w:p>
      <w:pPr>
        <w:pStyle w:val="ListBullet"/>
      </w:pPr>
      <w:r>
        <w:t>firstAwardDate and lastAwardDate — used to compute yearsSinceLastAward</w:t>
      </w:r>
    </w:p>
    <w:p>
      <w:r>
        <w:rPr>
          <w:b/>
          <w:sz w:val="30"/>
        </w:rPr>
        <w:t>4. Data source #2 — M/WBE Certified Business Directory (the "equity" signal)</w:t>
      </w:r>
    </w:p>
    <w:p>
      <w:r>
        <w:rPr>
          <w:b w:val="0"/>
          <w:i w:val="0"/>
        </w:rPr>
        <w:t>NYC Socrata dataset ci93-uc8s  ·  maintained by NYC SBS.</w:t>
      </w:r>
    </w:p>
    <w:p>
      <w:r>
        <w:rPr>
          <w:b/>
          <w:sz w:val="24"/>
        </w:rPr>
        <w:t>What it is</w:t>
      </w:r>
    </w:p>
    <w:p>
      <w:r>
        <w:t>NYC’s Small Business Services agency runs a certification program that audits businesses to confirm they are owned and controlled by minority groups, women, NYC residents, or recently emerging entrepreneurs. Certified businesses become eligible for set-aside contracts and priority consideration in city procurement. Five distinct certification categories exist:</w:t>
      </w:r>
    </w:p>
    <w:p>
      <w:pPr>
        <w:pStyle w:val="ListBullet"/>
      </w:pPr>
      <w:r>
        <w:t>MBE — Minority-owned Business Enterprise</w:t>
      </w:r>
    </w:p>
    <w:p>
      <w:pPr>
        <w:pStyle w:val="ListBullet"/>
      </w:pPr>
      <w:r>
        <w:t>WBE — Women-owned Business Enterprise</w:t>
      </w:r>
    </w:p>
    <w:p>
      <w:pPr>
        <w:pStyle w:val="ListBullet"/>
      </w:pPr>
      <w:r>
        <w:t>MWBE — Minority-and-Women-owned (overlap of the two)</w:t>
      </w:r>
    </w:p>
    <w:p>
      <w:pPr>
        <w:pStyle w:val="ListBullet"/>
      </w:pPr>
      <w:r>
        <w:t>LBE — Locally-based Business Enterprise (NYC-resident-owned)</w:t>
      </w:r>
    </w:p>
    <w:p>
      <w:pPr>
        <w:pStyle w:val="ListBullet"/>
      </w:pPr>
      <w:r>
        <w:t>EBE — Emerging Business Enterprise (newer / less-established firm)</w:t>
      </w:r>
    </w:p>
    <w:p>
      <w:r>
        <w:t>We pull rows that satisfy either filter below. Either is sufficient — NAICS code is the reliable machine-readable signal, the description keywords catch vendors with adjacent classifications.</w:t>
      </w:r>
    </w:p>
    <w:p>
      <w:pPr>
        <w:pStyle w:val="ListBullet"/>
      </w:pPr>
      <w:r>
        <w:t>NAICS code = 238210 (Electrical Contractors and Other Wiring Installation Contractors)</w:t>
      </w:r>
    </w:p>
    <w:p>
      <w:pPr>
        <w:pStyle w:val="ListBullet"/>
      </w:pPr>
      <w:r>
        <w:t>Business description contains LIGHT / ELECTRIC / LUMINAIRE / TRAFFIC SIGNAL / LAMP / WIRING</w:t>
      </w:r>
    </w:p>
    <w:p>
      <w:r>
        <w:t>After filtering: 900 rows. Joined against our pool: 149 vendors match (7.9% of pool).</w:t>
      </w:r>
    </w:p>
    <w:p>
      <w:r>
        <w:rPr>
          <w:b/>
          <w:sz w:val="24"/>
        </w:rPr>
        <w:t>Ethnicity breakdown of the 149 matched vendors (rough)</w:t>
      </w:r>
    </w:p>
    <w:p>
      <w:r>
        <w:t>NYC publishes ethnicity as one of: BLACK, HISPANIC, ASIAN, NATIVE AMERICAN, NON-MINORITY (i.e. the vendor is WBE/LBE/EBE-certified but the owner is not a person of color). The dataset no longer publishes gender as a separate field.</w:t>
      </w:r>
    </w:p>
    <w:p>
      <w:r>
        <w:rPr>
          <w:b/>
          <w:sz w:val="24"/>
        </w:rPr>
        <w:t>What we compute per vendor from this dataset</w:t>
      </w:r>
    </w:p>
    <w:p>
      <w:pPr>
        <w:pStyle w:val="ListBullet"/>
      </w:pPr>
      <w:r>
        <w:t>certification — the certificate code(s): MBE, WBE, MWBE, LBE, EBE, or combinations</w:t>
      </w:r>
    </w:p>
    <w:p>
      <w:pPr>
        <w:pStyle w:val="ListBullet"/>
      </w:pPr>
      <w:r>
        <w:t>ethnicity — owner ethnicity per SBS audit</w:t>
      </w:r>
    </w:p>
    <w:p>
      <w:pPr>
        <w:pStyle w:val="ListBullet"/>
      </w:pPr>
      <w:r>
        <w:t>passportEnrolled — boolean: are they registered in NYC’s PASSPort procurement system</w:t>
      </w:r>
    </w:p>
    <w:p>
      <w:pPr>
        <w:pStyle w:val="ListBullet"/>
      </w:pPr>
      <w:r>
        <w:t>naicsCode, naicsSubsector, naicsTitle — formal trade classification</w:t>
      </w:r>
    </w:p>
    <w:p>
      <w:pPr>
        <w:pStyle w:val="ListBullet"/>
      </w:pPr>
      <w:r>
        <w:t>certRenewalDate — when their certification expires (we’ll drop them from equity boosts if expired)</w:t>
      </w:r>
    </w:p>
    <w:p>
      <w:r>
        <w:rPr>
          <w:b/>
          <w:sz w:val="30"/>
        </w:rPr>
        <w:t>5. The overlooked pool — the population the matrix exists to surface</w:t>
      </w:r>
    </w:p>
    <w:p>
      <w:r>
        <w:t>After the two enrichment joins, every vendor in the pool falls into one of four buckets: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Has city award?</w:t>
            </w:r>
          </w:p>
        </w:tc>
        <w:tc>
          <w:tcPr>
            <w:tcW w:type="dxa" w:w="2880"/>
          </w:tcPr>
          <w:p>
            <w:r/>
            <w:r>
              <w:rPr>
                <w:b/>
              </w:rPr>
              <w:t>Has M/WBE cert?</w:t>
            </w:r>
          </w:p>
        </w:tc>
        <w:tc>
          <w:tcPr>
            <w:tcW w:type="dxa" w:w="2880"/>
          </w:tcPr>
          <w:p>
            <w:r/>
            <w:r>
              <w:rPr>
                <w:b/>
              </w:rPr>
              <w:t>Approximate count</w:t>
            </w:r>
          </w:p>
        </w:tc>
      </w:tr>
      <w:tr>
        <w:tc>
          <w:tcPr>
            <w:tcW w:type="dxa" w:w="2880"/>
          </w:tcPr>
          <w:p>
            <w:r/>
            <w:r>
              <w:t>Yes</w:t>
            </w:r>
          </w:p>
        </w:tc>
        <w:tc>
          <w:tcPr>
            <w:tcW w:type="dxa" w:w="2880"/>
          </w:tcPr>
          <w:p>
            <w:r/>
            <w:r>
              <w:t>Yes</w:t>
            </w:r>
          </w:p>
        </w:tc>
        <w:tc>
          <w:tcPr>
            <w:tcW w:type="dxa" w:w="2880"/>
          </w:tcPr>
          <w:p>
            <w:r/>
            <w:r>
              <w:t>A handful (≤5) — both established and equity-certified</w:t>
            </w:r>
          </w:p>
        </w:tc>
      </w:tr>
      <w:tr>
        <w:tc>
          <w:tcPr>
            <w:tcW w:type="dxa" w:w="2880"/>
          </w:tcPr>
          <w:p>
            <w:r/>
            <w:r>
              <w:t>Yes</w:t>
            </w:r>
          </w:p>
        </w:tc>
        <w:tc>
          <w:tcPr>
            <w:tcW w:type="dxa" w:w="2880"/>
          </w:tcPr>
          <w:p>
            <w:r/>
            <w:r>
              <w:t>No</w:t>
            </w:r>
          </w:p>
        </w:tc>
        <w:tc>
          <w:tcPr>
            <w:tcW w:type="dxa" w:w="2880"/>
          </w:tcPr>
          <w:p>
            <w:r/>
            <w:r>
              <w:t>7 vendors — the pure incumbents</w:t>
            </w:r>
          </w:p>
        </w:tc>
      </w:tr>
      <w:tr>
        <w:tc>
          <w:tcPr>
            <w:tcW w:type="dxa" w:w="2880"/>
          </w:tcPr>
          <w:p>
            <w:r/>
            <w:r>
              <w:t>No</w:t>
            </w:r>
          </w:p>
        </w:tc>
        <w:tc>
          <w:tcPr>
            <w:tcW w:type="dxa" w:w="2880"/>
          </w:tcPr>
          <w:p>
            <w:r/>
            <w:r>
              <w:t>Yes</w:t>
            </w:r>
          </w:p>
        </w:tc>
        <w:tc>
          <w:tcPr>
            <w:tcW w:type="dxa" w:w="2880"/>
          </w:tcPr>
          <w:p>
            <w:r/>
            <w:r>
              <w:t>~144 vendors — equity-certified, no city work yet</w:t>
            </w:r>
          </w:p>
        </w:tc>
      </w:tr>
      <w:tr>
        <w:tc>
          <w:tcPr>
            <w:tcW w:type="dxa" w:w="2880"/>
          </w:tcPr>
          <w:p>
            <w:r/>
            <w:r>
              <w:t>No</w:t>
            </w:r>
          </w:p>
        </w:tc>
        <w:tc>
          <w:tcPr>
            <w:tcW w:type="dxa" w:w="2880"/>
          </w:tcPr>
          <w:p>
            <w:r/>
            <w:r>
              <w:t>No</w:t>
            </w:r>
          </w:p>
        </w:tc>
        <w:tc>
          <w:tcPr>
            <w:tcW w:type="dxa" w:w="2880"/>
          </w:tcPr>
          <w:p>
            <w:r/>
            <w:r>
              <w:t>~1,733 vendors — licensed but invisible to both procurement and equity systems</w:t>
            </w:r>
          </w:p>
        </w:tc>
      </w:tr>
    </w:tbl>
    <w:p>
      <w:r>
        <w:t>The bottom row — roughly 91.5% of all licensed NYC electricians — is what we call the “overlooked pool.” These are people who passed the city’s licensing exam, run a real business with a geocoded address, but have neither been awarded a city contract nor enrolled in the minority/women-owned business certification program. Some never applied. Some applied and didn’t qualify. Some are too small to bid on prime contracts. The matrix doesn’t care which — it surfaces all of them.</w:t>
      </w:r>
    </w:p>
    <w:p>
      <w:r>
        <w:rPr>
          <w:b/>
          <w:sz w:val="24"/>
        </w:rPr>
        <w:t>The math for the "overlooked-but-qualified" score (component 3 of the matrix, worth 20 points)</w:t>
      </w:r>
    </w:p>
    <w:p>
      <w:r>
        <w:t>A binary "has zero awards" flag is too crude — a vendor licensed for 2 months with zero awards shouldn’t score the same as a vendor licensed for 15 years with zero awards. The second case is a much stronger overlooked signal. So we use:</w:t>
      </w:r>
    </w:p>
    <w:p>
      <w:r>
        <w:rPr>
          <w:rFonts w:ascii="Consolas" w:hAnsi="Consolas"/>
          <w:sz w:val="20"/>
        </w:rPr>
        <w:t>overlooked_score = 20 × underuse_factor</w:t>
      </w:r>
    </w:p>
    <w:p>
      <w:r>
        <w:rPr>
          <w:rFonts w:ascii="Consolas" w:hAnsi="Consolas"/>
          <w:sz w:val="20"/>
        </w:rPr>
      </w:r>
    </w:p>
    <w:p>
      <w:r>
        <w:rPr>
          <w:rFonts w:ascii="Consolas" w:hAnsi="Consolas"/>
          <w:sz w:val="20"/>
        </w:rPr>
        <w:t>where</w:t>
      </w:r>
    </w:p>
    <w:p>
      <w:r>
        <w:rPr>
          <w:rFonts w:ascii="Consolas" w:hAnsi="Consolas"/>
          <w:sz w:val="20"/>
        </w:rPr>
        <w:t xml:space="preserve">  award_drought = 1 - min(1, awardsLast5yrCount / 10)</w:t>
      </w:r>
    </w:p>
    <w:p>
      <w:r>
        <w:rPr>
          <w:rFonts w:ascii="Consolas" w:hAnsi="Consolas"/>
          <w:sz w:val="20"/>
        </w:rPr>
        <w:t xml:space="preserve">                  # 0 awards in 5 yrs → 1.0  ·  10+ awards → 0.0</w:t>
      </w:r>
    </w:p>
    <w:p>
      <w:r>
        <w:rPr>
          <w:rFonts w:ascii="Consolas" w:hAnsi="Consolas"/>
          <w:sz w:val="20"/>
        </w:rPr>
      </w:r>
    </w:p>
    <w:p>
      <w:r>
        <w:rPr>
          <w:rFonts w:ascii="Consolas" w:hAnsi="Consolas"/>
          <w:sz w:val="20"/>
        </w:rPr>
        <w:t xml:space="preserve">  tenure_bonus  = min(1, (yearsLicensed - yearsSinceLastAward) / 5)</w:t>
      </w:r>
    </w:p>
    <w:p>
      <w:r>
        <w:rPr>
          <w:rFonts w:ascii="Consolas" w:hAnsi="Consolas"/>
          <w:sz w:val="20"/>
        </w:rPr>
        <w:t xml:space="preserve">                  # 5+ years without recent work → 1.0</w:t>
      </w:r>
    </w:p>
    <w:p>
      <w:r>
        <w:rPr>
          <w:rFonts w:ascii="Consolas" w:hAnsi="Consolas"/>
          <w:sz w:val="20"/>
        </w:rPr>
        <w:t xml:space="preserve">                  # newly licensed → near 0</w:t>
      </w:r>
    </w:p>
    <w:p>
      <w:r>
        <w:rPr>
          <w:rFonts w:ascii="Consolas" w:hAnsi="Consolas"/>
          <w:sz w:val="20"/>
        </w:rPr>
      </w:r>
    </w:p>
    <w:p>
      <w:r>
        <w:rPr>
          <w:rFonts w:ascii="Consolas" w:hAnsi="Consolas"/>
          <w:sz w:val="20"/>
        </w:rPr>
        <w:t xml:space="preserve">  underuse_factor = award_drought × tenure_bonus</w:t>
      </w:r>
    </w:p>
    <w:p>
      <w:r>
        <w:t>In plain English: this component fires hardest for vendors who have been around long enough to deserve work but haven’t received any. It does not fire for vendors who are new and haven’t had time to be overlooked yet.</w:t>
      </w:r>
    </w:p>
    <w:p>
      <w:r>
        <w:rPr>
          <w:b/>
          <w:sz w:val="30"/>
        </w:rPr>
        <w:t>6. The math behind the joins — how we connect a license, an award, and a certification</w:t>
      </w:r>
    </w:p>
    <w:p>
      <w:r>
        <w:rPr>
          <w:b/>
          <w:sz w:val="24"/>
        </w:rPr>
        <w:t>Step 1 — Normalize</w:t>
      </w:r>
    </w:p>
    <w:p>
      <w:r>
        <w:t>Vendor names appear differently in each dataset ("ABC Electric Corp." vs "ABC ELECTRIC CORPORATION" vs "abc electric"). We apply a deterministic normalization to every name before comparing:</w:t>
      </w:r>
    </w:p>
    <w:p>
      <w:pPr>
        <w:pStyle w:val="ListNumber"/>
      </w:pPr>
      <w:r>
        <w:t>Uppercase the entire string.</w:t>
      </w:r>
    </w:p>
    <w:p>
      <w:pPr>
        <w:pStyle w:val="ListNumber"/>
      </w:pPr>
      <w:r>
        <w:t>Strip legal suffixes: CORP, CORPORATION, INC, INCORPORATED, LLC, LLP, LTD, LIMITED, CO, COMPANY, GROUP, ENTERPRISES, SERVICES, CONTRACTING, CONTRACTORS.</w:t>
      </w:r>
    </w:p>
    <w:p>
      <w:pPr>
        <w:pStyle w:val="ListNumber"/>
      </w:pPr>
      <w:r>
        <w:t>Replace all punctuation with whitespace.</w:t>
      </w:r>
    </w:p>
    <w:p>
      <w:pPr>
        <w:pStyle w:val="ListNumber"/>
      </w:pPr>
      <w:r>
        <w:t>Collapse repeated whitespace into single spaces, trim ends.</w:t>
      </w:r>
    </w:p>
    <w:p>
      <w:r>
        <w:rPr>
          <w:b w:val="0"/>
          <w:i/>
        </w:rPr>
        <w:t>Example:  "ABC Electric Corp., Inc."  →  "ABC ELECTRIC"</w:t>
      </w:r>
    </w:p>
    <w:p>
      <w:r>
        <w:rPr>
          <w:b/>
          <w:sz w:val="24"/>
        </w:rPr>
        <w:t>Step 2 — Exact match on normalized name</w:t>
      </w:r>
    </w:p>
    <w:p>
      <w:r>
        <w:t>For every vendor in the pool, we look up their normalized name in the awards index and the M/WBE index. Direct hits are highest-confidence matches.</w:t>
      </w:r>
    </w:p>
    <w:p>
      <w:r>
        <w:rPr>
          <w:b/>
          <w:sz w:val="24"/>
        </w:rPr>
        <w:t>Step 3 — Fuzzy fallback for misses</w:t>
      </w:r>
    </w:p>
    <w:p>
      <w:r>
        <w:t>A second pass catches names that differ by spacing, abbreviation, or minor spelling. The tricky part: the word "ELECTRIC" appears in almost every name, so a naive character-similarity comparison reports false positives like "ABC Electric" ≈ "XYZ Electric" because they share eight characters in a row. To fix this, we strip the industry filler before fuzzy matching:</w:t>
      </w:r>
    </w:p>
    <w:p>
      <w:pPr>
        <w:pStyle w:val="ListBullet"/>
      </w:pPr>
      <w:r>
        <w:t>Words removed during fuzzy comparison: ELECTRIC, ELECTRICAL, POWER, LIGHTING, LIGHT, CONTRACTOR, CONTRACTING, INSTALLATION, TELECOMMUNICATIONS, SVCS, SERVICE, SOLUTIONS, SYSTEMS</w:t>
      </w:r>
    </w:p>
    <w:p>
      <w:pPr>
        <w:pStyle w:val="ListBullet"/>
      </w:pPr>
      <w:r>
        <w:t>Then we collapse remaining whitespace and compare on the residual "discriminator" using Python’s difflib.SequenceMatcher ratio with a cutoff of 0.92.</w:t>
      </w:r>
    </w:p>
    <w:p>
      <w:pPr>
        <w:pStyle w:val="ListBullet"/>
      </w:pPr>
      <w:r>
        <w:t>Discriminators shorter than 4 characters are skipped — too short to fuzzy-match reliably.</w:t>
      </w:r>
    </w:p>
    <w:p>
      <w:r>
        <w:rPr>
          <w:b w:val="0"/>
          <w:i/>
        </w:rPr>
        <w:t>Example:  "G S H ELECTRIC"  →  discriminator "GSH"</w:t>
      </w:r>
    </w:p>
    <w:p>
      <w:r>
        <w:rPr>
          <w:b w:val="0"/>
          <w:i/>
        </w:rPr>
        <w:t xml:space="preserve">          "GSH ELECTRIC INC"  →  discriminator "GSH"  ✓ exact match after stripping</w:t>
      </w:r>
    </w:p>
    <w:p>
      <w:r>
        <w:t>This tuning produced ~95% credible fuzzy matches on spot-check, down from ~33% at our first attempt with a naive cutoff. The remaining ~5% are still worth manual review, which we track as matchConfidence in vendors.json.</w:t>
      </w:r>
    </w:p>
    <w:p>
      <w:r>
        <w:rPr>
          <w:b/>
          <w:sz w:val="30"/>
        </w:rPr>
        <w:t>7. The full scoring matrix — where each data source plugs in</w:t>
      </w:r>
    </w:p>
    <w:p>
      <w:r>
        <w:t>Below is how each of the seven scoring components draws on the data sources described above. Stage 1 is binary filtering — fail any of these and the vendor is dropped, regardless of score. Stage 2 produces the 0–100 ranking among survivors.</w:t>
      </w:r>
    </w:p>
    <w:p>
      <w:r>
        <w:rPr>
          <w:b/>
          <w:sz w:val="24"/>
        </w:rPr>
        <w:t>Stage 1 — Hard filters</w:t>
      </w:r>
    </w:p>
    <w:p>
      <w:pPr>
        <w:pStyle w:val="ListBullet"/>
      </w:pPr>
      <w:r>
        <w:t>Active Master / Special Electrician license  (source: DOB roster)</w:t>
      </w:r>
    </w:p>
    <w:p>
      <w:pPr>
        <w:pStyle w:val="ListBullet"/>
      </w:pPr>
      <w:r>
        <w:t>License unexpired at complaint time  (source: DOB roster)</w:t>
      </w:r>
    </w:p>
    <w:p>
      <w:pPr>
        <w:pStyle w:val="ListBullet"/>
      </w:pPr>
      <w:r>
        <w:t>Within 15-mile haversine radius of complaint  (computed at runtime)</w:t>
      </w:r>
    </w:p>
    <w:p>
      <w:pPr>
        <w:pStyle w:val="ListBullet"/>
      </w:pPr>
      <w:r>
        <w:t>Not on city debarment list, when accessible  (source: PASSPort exclusion list, future)</w:t>
      </w:r>
    </w:p>
    <w:p>
      <w:r>
        <w:rPr>
          <w:b/>
          <w:sz w:val="24"/>
        </w:rPr>
        <w:t>Stage 2 — Weighted score (100 pts total)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Component</w:t>
            </w:r>
          </w:p>
        </w:tc>
        <w:tc>
          <w:tcPr>
            <w:tcW w:type="dxa" w:w="1728"/>
          </w:tcPr>
          <w:p>
            <w:r/>
            <w:r>
              <w:rPr>
                <w:b/>
              </w:rPr>
              <w:t>Weight</w:t>
            </w:r>
          </w:p>
        </w:tc>
        <w:tc>
          <w:tcPr>
            <w:tcW w:type="dxa" w:w="1728"/>
          </w:tcPr>
          <w:p>
            <w:r/>
            <w:r>
              <w:rPr>
                <w:b/>
              </w:rPr>
              <w:t>Data source</w:t>
            </w:r>
          </w:p>
        </w:tc>
        <w:tc>
          <w:tcPr>
            <w:tcW w:type="dxa" w:w="1728"/>
          </w:tcPr>
          <w:p>
            <w:r/>
            <w:r>
              <w:rPr>
                <w:b/>
              </w:rPr>
              <w:t>How it scores</w:t>
            </w:r>
          </w:p>
        </w:tc>
      </w:tr>
      <w:tr>
        <w:tc>
          <w:tcPr>
            <w:tcW w:type="dxa" w:w="1728"/>
          </w:tcPr>
          <w:p>
            <w:r/>
            <w:r>
              <w:t>1</w:t>
            </w:r>
          </w:p>
        </w:tc>
        <w:tc>
          <w:tcPr>
            <w:tcW w:type="dxa" w:w="1728"/>
          </w:tcPr>
          <w:p>
            <w:r/>
            <w:r>
              <w:t>Workload balance</w:t>
            </w:r>
          </w:p>
        </w:tc>
        <w:tc>
          <w:tcPr>
            <w:tcW w:type="dxa" w:w="1728"/>
          </w:tcPr>
          <w:p>
            <w:r/>
            <w:r>
              <w:t>25</w:t>
            </w:r>
          </w:p>
        </w:tc>
        <w:tc>
          <w:tcPr>
            <w:tcW w:type="dxa" w:w="1728"/>
          </w:tcPr>
          <w:p>
            <w:r/>
            <w:r>
              <w:t>Our own dispatch journal</w:t>
            </w:r>
          </w:p>
        </w:tc>
        <w:tc>
          <w:tcPr>
            <w:tcW w:type="dxa" w:w="1728"/>
          </w:tcPr>
          <w:p>
            <w:r/>
            <w:r>
              <w:t>Inverse: fewer recent dispatches from us = higher score. 60-day half-life decay.</w:t>
            </w:r>
          </w:p>
        </w:tc>
      </w:tr>
      <w:tr>
        <w:tc>
          <w:tcPr>
            <w:tcW w:type="dxa" w:w="1728"/>
          </w:tcPr>
          <w:p>
            <w:r/>
            <w:r>
              <w:t>2</w:t>
            </w:r>
          </w:p>
        </w:tc>
        <w:tc>
          <w:tcPr>
            <w:tcW w:type="dxa" w:w="1728"/>
          </w:tcPr>
          <w:p>
            <w:r/>
            <w:r>
              <w:t>Owner-demographic equity</w:t>
            </w:r>
          </w:p>
        </w:tc>
        <w:tc>
          <w:tcPr>
            <w:tcW w:type="dxa" w:w="1728"/>
          </w:tcPr>
          <w:p>
            <w:r/>
            <w:r>
              <w:t>20</w:t>
            </w:r>
          </w:p>
        </w:tc>
        <w:tc>
          <w:tcPr>
            <w:tcW w:type="dxa" w:w="1728"/>
          </w:tcPr>
          <w:p>
            <w:r/>
            <w:r>
              <w:t>M/WBE Directory</w:t>
            </w:r>
          </w:p>
        </w:tc>
        <w:tc>
          <w:tcPr>
            <w:tcW w:type="dxa" w:w="1728"/>
          </w:tcPr>
          <w:p>
            <w:r/>
            <w:r>
              <w:t>Positive, stackable: +8 MBE, +8 WBE, +3 LBE, +3 EBE, +2 ethnicity boost. Cap 20.</w:t>
            </w:r>
          </w:p>
        </w:tc>
      </w:tr>
      <w:tr>
        <w:tc>
          <w:tcPr>
            <w:tcW w:type="dxa" w:w="1728"/>
          </w:tcPr>
          <w:p>
            <w:r/>
            <w:r>
              <w:t>3</w:t>
            </w:r>
          </w:p>
        </w:tc>
        <w:tc>
          <w:tcPr>
            <w:tcW w:type="dxa" w:w="1728"/>
          </w:tcPr>
          <w:p>
            <w:r/>
            <w:r>
              <w:t>Overlooked-but-qualified</w:t>
            </w:r>
          </w:p>
        </w:tc>
        <w:tc>
          <w:tcPr>
            <w:tcW w:type="dxa" w:w="1728"/>
          </w:tcPr>
          <w:p>
            <w:r/>
            <w:r>
              <w:t>20</w:t>
            </w:r>
          </w:p>
        </w:tc>
        <w:tc>
          <w:tcPr>
            <w:tcW w:type="dxa" w:w="1728"/>
          </w:tcPr>
          <w:p>
            <w:r/>
            <w:r>
              <w:t>Recent Contract Awards + DOB tenure</w:t>
            </w:r>
          </w:p>
        </w:tc>
        <w:tc>
          <w:tcPr>
            <w:tcW w:type="dxa" w:w="1728"/>
          </w:tcPr>
          <w:p>
            <w:r/>
            <w:r>
              <w:t>Inverse, modulated by tenure. See §5 formula.</w:t>
            </w:r>
          </w:p>
        </w:tc>
      </w:tr>
      <w:tr>
        <w:tc>
          <w:tcPr>
            <w:tcW w:type="dxa" w:w="1728"/>
          </w:tcPr>
          <w:p>
            <w:r/>
            <w:r>
              <w:t>4</w:t>
            </w:r>
          </w:p>
        </w:tc>
        <w:tc>
          <w:tcPr>
            <w:tcW w:type="dxa" w:w="1728"/>
          </w:tcPr>
          <w:p>
            <w:r/>
            <w:r>
              <w:t>Proximity</w:t>
            </w:r>
          </w:p>
        </w:tc>
        <w:tc>
          <w:tcPr>
            <w:tcW w:type="dxa" w:w="1728"/>
          </w:tcPr>
          <w:p>
            <w:r/>
            <w:r>
              <w:t>15</w:t>
            </w:r>
          </w:p>
        </w:tc>
        <w:tc>
          <w:tcPr>
            <w:tcW w:type="dxa" w:w="1728"/>
          </w:tcPr>
          <w:p>
            <w:r/>
            <w:r>
              <w:t>Complaint lat/long + vendor lat/long</w:t>
            </w:r>
          </w:p>
        </w:tc>
        <w:tc>
          <w:tcPr>
            <w:tcW w:type="dxa" w:w="1728"/>
          </w:tcPr>
          <w:p>
            <w:r/>
            <w:r>
              <w:t>1 / (1 + miles), normalized.</w:t>
            </w:r>
          </w:p>
        </w:tc>
      </w:tr>
      <w:tr>
        <w:tc>
          <w:tcPr>
            <w:tcW w:type="dxa" w:w="1728"/>
          </w:tcPr>
          <w:p>
            <w:r/>
            <w:r>
              <w:t>5</w:t>
            </w:r>
          </w:p>
        </w:tc>
        <w:tc>
          <w:tcPr>
            <w:tcW w:type="dxa" w:w="1728"/>
          </w:tcPr>
          <w:p>
            <w:r/>
            <w:r>
              <w:t>Reliability proxy</w:t>
            </w:r>
          </w:p>
        </w:tc>
        <w:tc>
          <w:tcPr>
            <w:tcW w:type="dxa" w:w="1728"/>
          </w:tcPr>
          <w:p>
            <w:r/>
            <w:r>
              <w:t>10</w:t>
            </w:r>
          </w:p>
        </w:tc>
        <w:tc>
          <w:tcPr>
            <w:tcW w:type="dxa" w:w="1728"/>
          </w:tcPr>
          <w:p>
            <w:r/>
            <w:r>
              <w:t>DOB license status</w:t>
            </w:r>
          </w:p>
        </w:tc>
        <w:tc>
          <w:tcPr>
            <w:tcW w:type="dxa" w:w="1728"/>
          </w:tcPr>
          <w:p>
            <w:r/>
            <w:r>
              <w:t>Active license = full points. Suspended at any time in last year = 0.</w:t>
            </w:r>
          </w:p>
        </w:tc>
      </w:tr>
      <w:tr>
        <w:tc>
          <w:tcPr>
            <w:tcW w:type="dxa" w:w="1728"/>
          </w:tcPr>
          <w:p>
            <w:r/>
            <w:r>
              <w:t>6</w:t>
            </w:r>
          </w:p>
        </w:tc>
        <w:tc>
          <w:tcPr>
            <w:tcW w:type="dxa" w:w="1728"/>
          </w:tcPr>
          <w:p>
            <w:r/>
            <w:r>
              <w:t>Baseline capability</w:t>
            </w:r>
          </w:p>
        </w:tc>
        <w:tc>
          <w:tcPr>
            <w:tcW w:type="dxa" w:w="1728"/>
          </w:tcPr>
          <w:p>
            <w:r/>
            <w:r>
              <w:t>5</w:t>
            </w:r>
          </w:p>
        </w:tc>
        <w:tc>
          <w:tcPr>
            <w:tcW w:type="dxa" w:w="1728"/>
          </w:tcPr>
          <w:p>
            <w:r/>
            <w:r>
              <w:t>Recent Contract Awards + M/WBE cross-check</w:t>
            </w:r>
          </w:p>
        </w:tc>
        <w:tc>
          <w:tcPr>
            <w:tcW w:type="dxa" w:w="1728"/>
          </w:tcPr>
          <w:p>
            <w:r/>
            <w:r>
              <w:t>Has license AND (any award OR M/WBE entry) = full points. Pure floor — not a kingmaker.</w:t>
            </w:r>
          </w:p>
        </w:tc>
      </w:tr>
      <w:tr>
        <w:tc>
          <w:tcPr>
            <w:tcW w:type="dxa" w:w="1728"/>
          </w:tcPr>
          <w:p>
            <w:r/>
            <w:r>
              <w:t>7</w:t>
            </w:r>
          </w:p>
        </w:tc>
        <w:tc>
          <w:tcPr>
            <w:tcW w:type="dxa" w:w="1728"/>
          </w:tcPr>
          <w:p>
            <w:r/>
            <w:r>
              <w:t>Capacity headroom</w:t>
            </w:r>
          </w:p>
        </w:tc>
        <w:tc>
          <w:tcPr>
            <w:tcW w:type="dxa" w:w="1728"/>
          </w:tcPr>
          <w:p>
            <w:r/>
            <w:r>
              <w:t>5</w:t>
            </w:r>
          </w:p>
        </w:tc>
        <w:tc>
          <w:tcPr>
            <w:tcW w:type="dxa" w:w="1728"/>
          </w:tcPr>
          <w:p>
            <w:r/>
            <w:r>
              <w:t>Recent Contract Awards</w:t>
            </w:r>
          </w:p>
        </w:tc>
        <w:tc>
          <w:tcPr>
            <w:tcW w:type="dxa" w:w="1728"/>
          </w:tcPr>
          <w:p>
            <w:r/>
            <w:r>
              <w:t>Inverse: lower 12-month award $ = more headroom.</w:t>
            </w:r>
          </w:p>
        </w:tc>
      </w:tr>
    </w:tbl>
    <w:p>
      <w:r>
        <w:rPr>
          <w:b/>
          <w:sz w:val="24"/>
        </w:rPr>
        <w:t>Borough-spread soft constraint at result assembly</w:t>
      </w:r>
    </w:p>
    <w:p>
      <w:r>
        <w:t>After scoring, when assembling the top-5 list for a single complaint, no more than 2 of the 5 may come from the same borough — as long as cross-borough candidates score within 15 points of the borough-local winner. Local vendors still dominate when they’re clearly best fit; the fourth and fifth slots open up to under-served boroughs.</w:t>
      </w:r>
    </w:p>
    <w:p>
      <w:r>
        <w:rPr>
          <w:b/>
          <w:sz w:val="30"/>
        </w:rPr>
        <w:t>8. Open questions — where we want input before locking the formula</w:t>
      </w:r>
    </w:p>
    <w:p>
      <w:r>
        <w:t>These are not bugs. They are deliberate design choices where we have a defensible default but reasonable people could pick differently. We’d like to discuss each before wiring the formula into the production app.</w:t>
      </w:r>
    </w:p>
    <w:p>
      <w:r>
        <w:rPr>
          <w:b/>
          <w:sz w:val="24"/>
        </w:rPr>
        <w:t>Q1 — Should "overlooked" be measured against borough density?</w:t>
      </w:r>
    </w:p>
    <w:p>
      <w:r>
        <w:t>A vendor licensed for 10 years with zero awards in a borough with 200 other licensed electricians is a weaker overlooked signal than the same vendor in a borough with 30. We currently treat them the same. Worth normalizing by borough vendor density? Or leave it simpler?</w:t>
      </w:r>
    </w:p>
    <w:p>
      <w:r>
        <w:rPr>
          <w:b/>
          <w:sz w:val="24"/>
        </w:rPr>
        <w:t>Q2 — Is the demographic component cap of 20 points correct?</w:t>
      </w:r>
    </w:p>
    <w:p>
      <w:r>
        <w:t>We stack MBE (+8), WBE (+8), LBE (+3), EBE (+3), and an ethnicity bonus (+2), then cap at 20. A Black-owned MWBE-certified business hits the cap exactly. A non-minority WBE gets +8 + 3 LBE (if applicable) — half the cap. Is that the ratio we want? Should LBE/EBE be worth more? Should MWBE (overlap) get bonus stacking?</w:t>
      </w:r>
    </w:p>
    <w:p>
      <w:r>
        <w:rPr>
          <w:b/>
          <w:sz w:val="24"/>
        </w:rPr>
        <w:t>Q3 — Is the workload-balance half-life of 60 days right?</w:t>
      </w:r>
    </w:p>
    <w:p>
      <w:r>
        <w:t>Decay window controls how quickly a vendor "resets" after we dispatch them. 60 days means a vendor we sent 3 jobs to last month is still heavily penalized; one we sent jobs to 4 months ago is largely back in rotation. Shorter = more rotation, longer = more deliberate distribution. Should this be tuned per-borough?</w:t>
      </w:r>
    </w:p>
    <w:p>
      <w:r>
        <w:rPr>
          <w:b/>
          <w:sz w:val="24"/>
        </w:rPr>
        <w:t>Q4 — Should PASSPort enrollment be its own scoring component?</w:t>
      </w:r>
    </w:p>
    <w:p>
      <w:r>
        <w:t>PASSPort prequalification means a vendor has already passed NYC procurement’s background and document checks — a meaningful trust signal. We currently bundle it inside component 5 (reliability proxy). Should it stand alone? At how many points?</w:t>
      </w:r>
    </w:p>
    <w:p>
      <w:r>
        <w:rPr>
          <w:b/>
          <w:sz w:val="24"/>
        </w:rPr>
        <w:t>Q5 — Should "non-minority WBE" score differently from "minority WBE"?</w:t>
      </w:r>
    </w:p>
    <w:p>
      <w:r>
        <w:t>A vendor certified WBE with ethnicity = NON-MINORITY (the owner is a woman who is white) is a different equity case than a vendor certified WBE with ethnicity = BLACK. We currently treat them identically. Is that fair? Or do we adjust by intersectionality?</w:t>
      </w:r>
    </w:p>
    <w:p>
      <w:r>
        <w:rPr>
          <w:b/>
          <w:sz w:val="24"/>
        </w:rPr>
        <w:t>Q6 — How do we handle vendors with no demographic data at all?</w:t>
      </w:r>
    </w:p>
    <w:p>
      <w:r>
        <w:t>91.5% of our pool — the overlooked 1,733 — has no M/WBE certification. We treat them as if they are presumed non-minority by default. That’s probably wrong. Many small minority-owned shops never apply for M/WBE because the application process is burdensome. Should we flag these as "unknown" rather than "non-minority"? Should we surface that uncertainty in the UI?</w:t>
      </w:r>
    </w:p>
    <w:p>
      <w:r>
        <w:rPr>
          <w:b/>
          <w:sz w:val="24"/>
        </w:rPr>
        <w:t>Q7 — Does the borough-spread soft constraint (max 2 per top-5) actually serve our goal?</w:t>
      </w:r>
    </w:p>
    <w:p>
      <w:r>
        <w:t>The constraint helps for one complaint at a time. But over a year of complaints, does it actually rebalance work across boroughs? Or do we need a second-order constraint that tracks cumulative dispatches per borough and applies a corrective pressure across the whole time-series?</w:t>
      </w:r>
    </w:p>
    <w:p>
      <w:r>
        <w:rPr>
          <w:b/>
          <w:sz w:val="24"/>
        </w:rPr>
        <w:t>Q8 — What is the right floor on baseline capability (component 6)?</w:t>
      </w:r>
    </w:p>
    <w:p>
      <w:r>
        <w:t>Currently it fires for any vendor with either an award or an M/WBE entry. Should the floor be tighter — e.g. require an electrical-specific NAICS code, or require at least one award in the last 5 years? Or looser — drop it entirely and rely on the license itself as the capability proof?</w:t>
      </w:r>
    </w:p>
    <w:p>
      <w:r>
        <w:rPr>
          <w:b/>
          <w:sz w:val="30"/>
        </w:rPr>
        <w:t>9. What we want from the 5/19 meeting</w:t>
      </w:r>
    </w:p>
    <w:p>
      <w:pPr>
        <w:pStyle w:val="ListNumber"/>
      </w:pPr>
      <w:r>
        <w:t>Validation that the equity-first framing is defensible to a city procurement audience.</w:t>
      </w:r>
    </w:p>
    <w:p>
      <w:pPr>
        <w:pStyle w:val="ListNumber"/>
      </w:pPr>
      <w:r>
        <w:t>His read on which of the open questions (§8) are biggest deal — i.e. which would block us from showing this to a real city contact, vs. which are okay to leave as v1 defaults.</w:t>
      </w:r>
    </w:p>
    <w:p>
      <w:pPr>
        <w:pStyle w:val="ListNumber"/>
      </w:pPr>
      <w:r>
        <w:t>Intros to anyone at NYC SBS, DOT, or DDC who can sanity-check the methodology.</w:t>
      </w:r>
    </w:p>
    <w:p>
      <w:pPr>
        <w:pStyle w:val="ListNumber"/>
      </w:pPr>
      <w:r>
        <w:t>Legal/data-use guidance: can we publish per-vendor scores publicly on the dashboard, or do we need to keep them server-side and only display rankings?</w:t>
      </w:r>
    </w:p>
    <w:p>
      <w:pPr>
        <w:pStyle w:val="ListNumber"/>
      </w:pPr>
      <w:r>
        <w:t>His perspective on how to communicate this matrix to the vendors themselves, especially the 1,733 we’re telling them they’ve been overlooked.</w:t>
      </w:r>
    </w:p>
    <w:p>
      <w:r>
        <w:rPr>
          <w:b w:val="0"/>
          <w:i/>
        </w:rPr>
        <w:t>— Nischal Divecha &amp; Mithran Sadasivam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