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003366"/>
          <w:sz w:val="72"/>
        </w:rPr>
        <w:t>AIRROUTE AI</w:t>
      </w:r>
    </w:p>
    <w:p>
      <w:pPr>
        <w:spacing w:after="80"/>
        <w:jc w:val="center"/>
      </w:pPr>
      <w:r>
        <w:rPr>
          <w:rFonts w:ascii="Arial" w:hAnsi="Arial"/>
          <w:color w:val="444444"/>
          <w:sz w:val="36"/>
        </w:rPr>
        <w:t>Scalable Airline Passenger Sentiment Analysis &amp; Intelligent Review Routing System</w:t>
      </w:r>
    </w:p>
    <w:p>
      <w:pPr>
        <w:spacing w:after="40"/>
        <w:jc w:val="center"/>
      </w:pPr>
      <w:r>
        <w:rPr>
          <w:color w:val="003366"/>
          <w:sz w:val="12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rial" w:hAnsi="Arial"/>
                <w:b/>
                <w:sz w:val="20"/>
              </w:rPr>
              <w:t>Group Members:</w:t>
              <w:br/>
            </w:r>
            <w:r>
              <w:rPr>
                <w:rFonts w:ascii="Arial" w:hAnsi="Arial"/>
                <w:b w:val="0"/>
                <w:sz w:val="20"/>
              </w:rPr>
              <w:t>1. Navnath Kadam (23102B0061, CMPN-B)</w:t>
              <w:br/>
            </w:r>
            <w:r>
              <w:rPr>
                <w:rFonts w:ascii="Arial" w:hAnsi="Arial"/>
                <w:b w:val="0"/>
                <w:sz w:val="20"/>
              </w:rPr>
              <w:t>2. Prathmesh Nitnaware (23102B0060, CMPN-B)</w:t>
              <w:br/>
            </w:r>
            <w:r>
              <w:rPr>
                <w:rFonts w:ascii="Arial" w:hAnsi="Arial"/>
                <w:b w:val="0"/>
                <w:sz w:val="20"/>
              </w:rPr>
              <w:t>3. Sahil Khilari (23102B0061, CMPN-B)</w:t>
            </w:r>
          </w:p>
        </w:tc>
        <w:tc>
          <w:tcPr>
            <w:tcW w:type="dxa" w:w="1105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/>
                <w:sz w:val="20"/>
              </w:rPr>
              <w:t xml:space="preserve">Subject: </w:t>
            </w:r>
            <w:r>
              <w:rPr>
                <w:rFonts w:ascii="Arial" w:hAnsi="Arial"/>
                <w:b w:val="0"/>
                <w:sz w:val="20"/>
              </w:rPr>
              <w:t>Scalable ML and Big Data Analytics (BDA)</w:t>
              <w:br/>
            </w:r>
            <w:r>
              <w:rPr>
                <w:rFonts w:ascii="Arial" w:hAnsi="Arial"/>
                <w:b/>
                <w:sz w:val="20"/>
              </w:rPr>
              <w:t xml:space="preserve">Faculty: </w:t>
            </w:r>
            <w:r>
              <w:rPr>
                <w:rFonts w:ascii="Arial" w:hAnsi="Arial"/>
                <w:b w:val="0"/>
                <w:sz w:val="20"/>
              </w:rPr>
              <w:t>_________________________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077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  <w:p>
            <w:pPr>
              <w:spacing w:before="120" w:after="60"/>
            </w:pPr>
            <w:r>
              <w:rPr>
                <w:rFonts w:ascii="Arial" w:hAnsi="Arial"/>
                <w:b/>
                <w:color w:val="003366"/>
                <w:sz w:val="26"/>
              </w:rPr>
              <w:t>1. Problem Statement</w:t>
            </w:r>
          </w:p>
          <w:p>
            <w:pPr>
              <w:spacing w:after="20" w:before="0"/>
              <w:ind w:left="283"/>
            </w:pPr>
            <w:r>
              <w:rPr>
                <w:rFonts w:ascii="Arial" w:hAnsi="Arial"/>
                <w:sz w:val="18"/>
              </w:rPr>
              <w:t xml:space="preserve">• </w:t>
            </w:r>
            <w:r>
              <w:rPr>
                <w:rFonts w:ascii="Arial" w:hAnsi="Arial"/>
                <w:b/>
                <w:sz w:val="18"/>
              </w:rPr>
              <w:t>Scale:</w:t>
            </w:r>
            <w:r>
              <w:rPr>
                <w:rFonts w:ascii="Arial" w:hAnsi="Arial"/>
                <w:sz w:val="18"/>
              </w:rPr>
              <w:t xml:space="preserve"> Airlines receive massive volumes of reviews daily across digital channels.</w:t>
            </w:r>
          </w:p>
          <w:p>
            <w:pPr>
              <w:spacing w:after="20" w:before="0"/>
              <w:ind w:left="283"/>
            </w:pPr>
            <w:r>
              <w:rPr>
                <w:rFonts w:ascii="Arial" w:hAnsi="Arial"/>
                <w:sz w:val="18"/>
              </w:rPr>
              <w:t xml:space="preserve">• </w:t>
            </w:r>
            <w:r>
              <w:rPr>
                <w:rFonts w:ascii="Arial" w:hAnsi="Arial"/>
                <w:b/>
                <w:sz w:val="18"/>
              </w:rPr>
              <w:t>Manual Triage Delay:</w:t>
            </w:r>
            <w:r>
              <w:rPr>
                <w:rFonts w:ascii="Arial" w:hAnsi="Arial"/>
                <w:sz w:val="18"/>
              </w:rPr>
              <w:t xml:space="preserve"> Human agents manually read and route complaints, causing delayed responses for critical operational failures.</w:t>
            </w:r>
          </w:p>
          <w:p>
            <w:pPr>
              <w:spacing w:after="20" w:before="0"/>
              <w:ind w:left="283"/>
            </w:pPr>
            <w:r>
              <w:rPr>
                <w:rFonts w:ascii="Arial" w:hAnsi="Arial"/>
                <w:sz w:val="18"/>
              </w:rPr>
              <w:t xml:space="preserve">• </w:t>
            </w:r>
            <w:r>
              <w:rPr>
                <w:rFonts w:ascii="Arial" w:hAnsi="Arial"/>
                <w:b/>
                <w:sz w:val="18"/>
              </w:rPr>
              <w:t>Compound Feedback:</w:t>
            </w:r>
            <w:r>
              <w:rPr>
                <w:rFonts w:ascii="Arial" w:hAnsi="Arial"/>
                <w:sz w:val="18"/>
              </w:rPr>
              <w:t xml:space="preserve"> Reviews often mix multiple issues in one sentence (e.g., "Flight delayed 4 hrs and lost bag, but crew was polite!"). Traditional classifiers fail to isolate individual issues.</w:t>
            </w:r>
          </w:p>
          <w:p>
            <w:pPr>
              <w:spacing w:after="20" w:before="0"/>
              <w:ind w:left="283"/>
            </w:pPr>
            <w:r>
              <w:rPr>
                <w:rFonts w:ascii="Arial" w:hAnsi="Arial"/>
                <w:sz w:val="18"/>
              </w:rPr>
              <w:t xml:space="preserve">• </w:t>
            </w:r>
            <w:r>
              <w:rPr>
                <w:rFonts w:ascii="Arial" w:hAnsi="Arial"/>
                <w:b/>
                <w:sz w:val="18"/>
              </w:rPr>
              <w:t>Big Data:</w:t>
            </w:r>
            <w:r>
              <w:rPr>
                <w:rFonts w:ascii="Arial" w:hAnsi="Arial"/>
                <w:sz w:val="18"/>
              </w:rPr>
              <w:t xml:space="preserve"> Enterprise-scale feedback exceeds single-node processing capacity, requiring Apache Spark.</w:t>
            </w:r>
          </w:p>
          <w:p>
            <w:pPr>
              <w:spacing w:before="120" w:after="60"/>
            </w:pPr>
            <w:r>
              <w:rPr>
                <w:rFonts w:ascii="Arial" w:hAnsi="Arial"/>
                <w:b/>
                <w:color w:val="003366"/>
                <w:sz w:val="26"/>
              </w:rPr>
              <w:t>2. Objectives</w:t>
            </w:r>
          </w:p>
          <w:p>
            <w:pPr>
              <w:spacing w:after="20" w:before="0"/>
              <w:ind w:left="283"/>
            </w:pPr>
            <w:r>
              <w:rPr>
                <w:rFonts w:ascii="Arial" w:hAnsi="Arial"/>
                <w:sz w:val="18"/>
              </w:rPr>
              <w:t xml:space="preserve">• </w:t>
            </w:r>
            <w:r>
              <w:rPr>
                <w:rFonts w:ascii="Arial" w:hAnsi="Arial"/>
                <w:b/>
                <w:sz w:val="18"/>
              </w:rPr>
              <w:t>1.</w:t>
            </w:r>
            <w:r>
              <w:rPr>
                <w:rFonts w:ascii="Arial" w:hAnsi="Arial"/>
                <w:sz w:val="18"/>
              </w:rPr>
              <w:t xml:space="preserve"> PySpark ETL pipeline with Parquet compression</w:t>
            </w:r>
          </w:p>
          <w:p>
            <w:pPr>
              <w:spacing w:after="20" w:before="0"/>
              <w:ind w:left="283"/>
            </w:pPr>
            <w:r>
              <w:rPr>
                <w:rFonts w:ascii="Arial" w:hAnsi="Arial"/>
                <w:sz w:val="18"/>
              </w:rPr>
              <w:t xml:space="preserve">• </w:t>
            </w:r>
            <w:r>
              <w:rPr>
                <w:rFonts w:ascii="Arial" w:hAnsi="Arial"/>
                <w:b/>
                <w:sz w:val="18"/>
              </w:rPr>
              <w:t>2.</w:t>
            </w:r>
            <w:r>
              <w:rPr>
                <w:rFonts w:ascii="Arial" w:hAnsi="Arial"/>
                <w:sz w:val="18"/>
              </w:rPr>
              <w:t xml:space="preserve"> Scikit-Learn vs. Spark MLlib dual-model comparison</w:t>
            </w:r>
          </w:p>
          <w:p>
            <w:pPr>
              <w:spacing w:after="20" w:before="0"/>
              <w:ind w:left="283"/>
            </w:pPr>
            <w:r>
              <w:rPr>
                <w:rFonts w:ascii="Arial" w:hAnsi="Arial"/>
                <w:sz w:val="18"/>
              </w:rPr>
              <w:t xml:space="preserve">• </w:t>
            </w:r>
            <w:r>
              <w:rPr>
                <w:rFonts w:ascii="Arial" w:hAnsi="Arial"/>
                <w:b/>
                <w:sz w:val="18"/>
              </w:rPr>
              <w:t>3.</w:t>
            </w:r>
            <w:r>
              <w:rPr>
                <w:rFonts w:ascii="Arial" w:hAnsi="Arial"/>
                <w:sz w:val="18"/>
              </w:rPr>
              <w:t xml:space="preserve"> Discourse clause segmentation for compound reviews</w:t>
            </w:r>
          </w:p>
          <w:p>
            <w:pPr>
              <w:spacing w:after="20" w:before="0"/>
              <w:ind w:left="283"/>
            </w:pPr>
            <w:r>
              <w:rPr>
                <w:rFonts w:ascii="Arial" w:hAnsi="Arial"/>
                <w:sz w:val="18"/>
              </w:rPr>
              <w:t xml:space="preserve">• </w:t>
            </w:r>
            <w:r>
              <w:rPr>
                <w:rFonts w:ascii="Arial" w:hAnsi="Arial"/>
                <w:b/>
                <w:sz w:val="18"/>
              </w:rPr>
              <w:t>4.</w:t>
            </w:r>
            <w:r>
              <w:rPr>
                <w:rFonts w:ascii="Arial" w:hAnsi="Arial"/>
                <w:sz w:val="18"/>
              </w:rPr>
              <w:t xml:space="preserve"> Meta NLI Zero-Shot department routing with confidence</w:t>
            </w:r>
          </w:p>
          <w:p>
            <w:pPr>
              <w:spacing w:after="20" w:before="0"/>
              <w:ind w:left="283"/>
            </w:pPr>
            <w:r>
              <w:rPr>
                <w:rFonts w:ascii="Arial" w:hAnsi="Arial"/>
                <w:sz w:val="18"/>
              </w:rPr>
              <w:t xml:space="preserve">• </w:t>
            </w:r>
            <w:r>
              <w:rPr>
                <w:rFonts w:ascii="Arial" w:hAnsi="Arial"/>
                <w:b/>
                <w:sz w:val="18"/>
              </w:rPr>
              <w:t>5.</w:t>
            </w:r>
            <w:r>
              <w:rPr>
                <w:rFonts w:ascii="Arial" w:hAnsi="Arial"/>
                <w:sz w:val="18"/>
              </w:rPr>
              <w:t xml:space="preserve"> Full-stack: FastAPI + SQLite + Streamlit dashboard</w:t>
            </w:r>
          </w:p>
          <w:p>
            <w:pPr>
              <w:spacing w:before="120" w:after="60"/>
            </w:pPr>
            <w:r>
              <w:rPr>
                <w:rFonts w:ascii="Arial" w:hAnsi="Arial"/>
                <w:b/>
                <w:color w:val="003366"/>
                <w:sz w:val="26"/>
              </w:rPr>
              <w:t>3. Methodology / Workflow</w:t>
            </w:r>
          </w:p>
          <w:p>
            <w:pPr>
              <w:spacing w:after="60"/>
            </w:pPr>
            <w:r>
              <w:rPr>
                <w:rFonts w:ascii="Consolas" w:hAnsi="Consolas"/>
                <w:sz w:val="16"/>
              </w:rPr>
              <w:t>[Raw CSV Data (Tweets.csv)]</w:t>
              <w:br/>
              <w:t xml:space="preserve">         ▼</w:t>
              <w:br/>
              <w:t>[PySpark ETL Engine] → [Parquet Storage]</w:t>
              <w:br/>
              <w:t xml:space="preserve">         ▼</w:t>
              <w:br/>
              <w:t xml:space="preserve">   ┌─────────────────────────┐</w:t>
              <w:br/>
              <w:t xml:space="preserve">   ▼                         ▼</w:t>
              <w:br/>
              <w:t>[Scikit-Learn]          [Spark MLlib]</w:t>
              <w:br/>
              <w:t xml:space="preserve"> Acc: 77.08%             Acc: 72.55%</w:t>
              <w:br/>
              <w:t xml:space="preserve">         ▼</w:t>
              <w:br/>
              <w:t>[Discourse Clause Segmentation]</w:t>
              <w:br/>
              <w:t xml:space="preserve">   Clause N → TF-IDF → Sentiment ML</w:t>
              <w:br/>
              <w:t xml:space="preserve">            → Meta NLI → Department</w:t>
              <w:br/>
              <w:t xml:space="preserve">         ▼</w:t>
              <w:br/>
              <w:t>[Priority Engine + SQLite Tickets]</w:t>
              <w:br/>
              <w:t xml:space="preserve">         ▼</w:t>
              <w:br/>
              <w:t>[FastAPI] ←→ [Streamlit Dashboard]</w:t>
            </w:r>
          </w:p>
          <w:p>
            <w:pPr>
              <w:spacing w:before="120" w:after="60"/>
            </w:pPr>
            <w:r>
              <w:rPr>
                <w:rFonts w:ascii="Arial" w:hAnsi="Arial"/>
                <w:b/>
                <w:color w:val="003366"/>
                <w:sz w:val="26"/>
              </w:rPr>
              <w:t>4. Technologies &amp; Tools</w:t>
            </w:r>
          </w:p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386"/>
              <w:gridCol w:w="5386"/>
            </w:tblGrid>
            <w:tr>
              <w:tc>
                <w:tcPr>
                  <w:tcW w:type="dxa" w:w="5386"/>
                  <w:shd w:fill="1F4E79" w:val="clea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6"/>
                    </w:rPr>
                    <w:t>Category</w:t>
                  </w:r>
                </w:p>
              </w:tc>
              <w:tc>
                <w:tcPr>
                  <w:tcW w:type="dxa" w:w="5386"/>
                  <w:shd w:fill="1F4E79" w:val="clea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6"/>
                    </w:rPr>
                    <w:t>Technology</w:t>
                  </w:r>
                </w:p>
              </w:tc>
            </w:tr>
            <w:tr>
              <w:tc>
                <w:tcPr>
                  <w:tcW w:type="dxa" w:w="5386"/>
                  <w:shd w:fill="E8F0FE" w:val="clea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6"/>
                    </w:rPr>
                    <w:t>Big Data</w:t>
                  </w:r>
                </w:p>
              </w:tc>
              <w:tc>
                <w:tcPr>
                  <w:tcW w:type="dxa" w:w="5386"/>
                  <w:shd w:fill="E8F0FE" w:val="clea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6"/>
                    </w:rPr>
                    <w:t>Apache Spark 3.5.3, PySpark, Parquet</w:t>
                  </w:r>
                </w:p>
              </w:tc>
            </w:tr>
            <w:tr>
              <w:tc>
                <w:tcPr>
                  <w:tcW w:type="dxa" w:w="5386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6"/>
                    </w:rPr>
                    <w:t>Machine Learning</w:t>
                  </w:r>
                </w:p>
              </w:tc>
              <w:tc>
                <w:tcPr>
                  <w:tcW w:type="dxa" w:w="5386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6"/>
                    </w:rPr>
                    <w:t>Scikit-Learn, Spark MLlib, TF-IDF</w:t>
                  </w:r>
                </w:p>
              </w:tc>
            </w:tr>
            <w:tr>
              <w:tc>
                <w:tcPr>
                  <w:tcW w:type="dxa" w:w="5386"/>
                  <w:shd w:fill="E8F0FE" w:val="clea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6"/>
                    </w:rPr>
                    <w:t>Zero-Shot NLP</w:t>
                  </w:r>
                </w:p>
              </w:tc>
              <w:tc>
                <w:tcPr>
                  <w:tcW w:type="dxa" w:w="5386"/>
                  <w:shd w:fill="E8F0FE" w:val="clea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6"/>
                    </w:rPr>
                    <w:t>Hugging Face (DistilBART-MNLI)</w:t>
                  </w:r>
                </w:p>
              </w:tc>
            </w:tr>
            <w:tr>
              <w:tc>
                <w:tcPr>
                  <w:tcW w:type="dxa" w:w="5386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6"/>
                    </w:rPr>
                    <w:t>Backend</w:t>
                  </w:r>
                </w:p>
              </w:tc>
              <w:tc>
                <w:tcPr>
                  <w:tcW w:type="dxa" w:w="5386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6"/>
                    </w:rPr>
                    <w:t>FastAPI, Uvicorn</w:t>
                  </w:r>
                </w:p>
              </w:tc>
            </w:tr>
            <w:tr>
              <w:tc>
                <w:tcPr>
                  <w:tcW w:type="dxa" w:w="5386"/>
                  <w:shd w:fill="E8F0FE" w:val="clea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6"/>
                    </w:rPr>
                    <w:t>Frontend</w:t>
                  </w:r>
                </w:p>
              </w:tc>
              <w:tc>
                <w:tcPr>
                  <w:tcW w:type="dxa" w:w="5386"/>
                  <w:shd w:fill="E8F0FE" w:val="clea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6"/>
                    </w:rPr>
                    <w:t>Streamlit, Plotly</w:t>
                  </w:r>
                </w:p>
              </w:tc>
            </w:tr>
            <w:tr>
              <w:tc>
                <w:tcPr>
                  <w:tcW w:type="dxa" w:w="5386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6"/>
                    </w:rPr>
                    <w:t>Database</w:t>
                  </w:r>
                </w:p>
              </w:tc>
              <w:tc>
                <w:tcPr>
                  <w:tcW w:type="dxa" w:w="5386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6"/>
                    </w:rPr>
                    <w:t>SQLite, SQLAlchemy</w:t>
                  </w:r>
                </w:p>
              </w:tc>
            </w:tr>
            <w:tr>
              <w:tc>
                <w:tcPr>
                  <w:tcW w:type="dxa" w:w="5386"/>
                  <w:shd w:fill="E8F0FE" w:val="clea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6"/>
                    </w:rPr>
                    <w:t>Testing &amp; VCS</w:t>
                  </w:r>
                </w:p>
              </w:tc>
              <w:tc>
                <w:tcPr>
                  <w:tcW w:type="dxa" w:w="5386"/>
                  <w:shd w:fill="E8F0FE" w:val="clea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6"/>
                    </w:rPr>
                    <w:t>Pytest, Git &amp; GitHub</w:t>
                  </w:r>
                </w:p>
              </w:tc>
            </w:tr>
          </w:tbl>
          <w:p/>
        </w:tc>
        <w:tc>
          <w:tcPr>
            <w:tcW w:type="dxa" w:w="1077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  <w:p>
            <w:pPr>
              <w:spacing w:before="120" w:after="60"/>
            </w:pPr>
            <w:r>
              <w:rPr>
                <w:rFonts w:ascii="Arial" w:hAnsi="Arial"/>
                <w:b/>
                <w:color w:val="003366"/>
                <w:sz w:val="26"/>
              </w:rPr>
              <w:t>5. Results</w:t>
            </w:r>
          </w:p>
          <w:p>
            <w:pPr>
              <w:spacing w:after="40" w:before="0"/>
            </w:pPr>
            <w:r>
              <w:rPr>
                <w:rFonts w:ascii="Arial" w:hAnsi="Arial"/>
                <w:b/>
                <w:sz w:val="22"/>
              </w:rPr>
              <w:t>A. ETL Performance</w:t>
            </w:r>
          </w:p>
          <w:p>
            <w:pPr>
              <w:spacing w:after="20" w:before="0"/>
              <w:ind w:left="283"/>
            </w:pPr>
            <w:r>
              <w:rPr>
                <w:rFonts w:ascii="Arial" w:hAnsi="Arial"/>
                <w:sz w:val="18"/>
              </w:rPr>
              <w:t xml:space="preserve">• </w:t>
            </w:r>
            <w:r>
              <w:rPr>
                <w:rFonts w:ascii="Arial" w:hAnsi="Arial"/>
                <w:b/>
                <w:sz w:val="18"/>
              </w:rPr>
              <w:t>Storage:</w:t>
            </w:r>
            <w:r>
              <w:rPr>
                <w:rFonts w:ascii="Arial" w:hAnsi="Arial"/>
                <w:sz w:val="18"/>
              </w:rPr>
              <w:t xml:space="preserve"> 3.42 MB → 2.07 MB (39.4% compression)</w:t>
            </w:r>
          </w:p>
          <w:p>
            <w:pPr>
              <w:spacing w:after="20" w:before="0"/>
              <w:ind w:left="283"/>
            </w:pPr>
            <w:r>
              <w:rPr>
                <w:rFonts w:ascii="Arial" w:hAnsi="Arial"/>
                <w:sz w:val="18"/>
              </w:rPr>
              <w:t xml:space="preserve">• </w:t>
            </w:r>
            <w:r>
              <w:rPr>
                <w:rFonts w:ascii="Arial" w:hAnsi="Arial"/>
                <w:b/>
                <w:sz w:val="18"/>
              </w:rPr>
              <w:t>Records:</w:t>
            </w:r>
            <w:r>
              <w:rPr>
                <w:rFonts w:ascii="Arial" w:hAnsi="Arial"/>
                <w:sz w:val="18"/>
              </w:rPr>
              <w:t xml:space="preserve"> 14,640 records, 100% retention</w:t>
            </w:r>
          </w:p>
          <w:p>
            <w:pPr>
              <w:spacing w:after="20" w:before="0"/>
              <w:ind w:left="283"/>
            </w:pPr>
            <w:r>
              <w:rPr>
                <w:rFonts w:ascii="Arial" w:hAnsi="Arial"/>
                <w:sz w:val="18"/>
              </w:rPr>
              <w:t xml:space="preserve">• </w:t>
            </w:r>
            <w:r>
              <w:rPr>
                <w:rFonts w:ascii="Arial" w:hAnsi="Arial"/>
                <w:b/>
                <w:sz w:val="18"/>
              </w:rPr>
              <w:t>Runtime:</w:t>
            </w:r>
            <w:r>
              <w:rPr>
                <w:rFonts w:ascii="Arial" w:hAnsi="Arial"/>
                <w:sz w:val="18"/>
              </w:rPr>
              <w:t xml:space="preserve"> 8.63 seconds</w:t>
            </w:r>
          </w:p>
          <w:p>
            <w:pPr>
              <w:spacing w:after="40" w:before="0"/>
            </w:pPr>
            <w:r>
              <w:rPr>
                <w:rFonts w:ascii="Arial" w:hAnsi="Arial"/>
                <w:b/>
                <w:sz w:val="22"/>
              </w:rPr>
              <w:t>B. Model Comparison</w:t>
            </w:r>
          </w:p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3591"/>
              <w:gridCol w:w="3591"/>
              <w:gridCol w:w="3591"/>
            </w:tblGrid>
            <w:tr>
              <w:tc>
                <w:tcPr>
                  <w:tcW w:type="dxa" w:w="3591"/>
                  <w:shd w:fill="1F4E79" w:val="clea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6"/>
                    </w:rPr>
                    <w:t>Metric</w:t>
                  </w:r>
                </w:p>
              </w:tc>
              <w:tc>
                <w:tcPr>
                  <w:tcW w:type="dxa" w:w="3591"/>
                  <w:shd w:fill="1F4E79" w:val="clea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6"/>
                    </w:rPr>
                    <w:t>Scikit-Learn</w:t>
                  </w:r>
                </w:p>
              </w:tc>
              <w:tc>
                <w:tcPr>
                  <w:tcW w:type="dxa" w:w="3591"/>
                  <w:shd w:fill="1F4E79" w:val="clea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6"/>
                    </w:rPr>
                    <w:t>Spark MLlib</w:t>
                  </w:r>
                </w:p>
              </w:tc>
            </w:tr>
            <w:tr>
              <w:tc>
                <w:tcPr>
                  <w:tcW w:type="dxa" w:w="3591"/>
                  <w:shd w:fill="E8F0FE" w:val="clea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6"/>
                    </w:rPr>
                    <w:t>Accuracy</w:t>
                  </w:r>
                </w:p>
              </w:tc>
              <w:tc>
                <w:tcPr>
                  <w:tcW w:type="dxa" w:w="3591"/>
                  <w:shd w:fill="E8F0FE" w:val="clea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6"/>
                    </w:rPr>
                    <w:t>77.08%</w:t>
                  </w:r>
                </w:p>
              </w:tc>
              <w:tc>
                <w:tcPr>
                  <w:tcW w:type="dxa" w:w="3591"/>
                  <w:shd w:fill="E8F0FE" w:val="clea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6"/>
                    </w:rPr>
                    <w:t>72.55%</w:t>
                  </w:r>
                </w:p>
              </w:tc>
            </w:tr>
            <w:tr>
              <w:tc>
                <w:tcPr>
                  <w:tcW w:type="dxa" w:w="3591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6"/>
                    </w:rPr>
                    <w:t>Weighted Precision</w:t>
                  </w:r>
                </w:p>
              </w:tc>
              <w:tc>
                <w:tcPr>
                  <w:tcW w:type="dxa" w:w="3591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6"/>
                    </w:rPr>
                    <w:t>0.7608</w:t>
                  </w:r>
                </w:p>
              </w:tc>
              <w:tc>
                <w:tcPr>
                  <w:tcW w:type="dxa" w:w="3591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6"/>
                    </w:rPr>
                    <w:t>0.7176</w:t>
                  </w:r>
                </w:p>
              </w:tc>
            </w:tr>
            <w:tr>
              <w:tc>
                <w:tcPr>
                  <w:tcW w:type="dxa" w:w="3591"/>
                  <w:shd w:fill="E8F0FE" w:val="clea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6"/>
                    </w:rPr>
                    <w:t>Weighted Recall</w:t>
                  </w:r>
                </w:p>
              </w:tc>
              <w:tc>
                <w:tcPr>
                  <w:tcW w:type="dxa" w:w="3591"/>
                  <w:shd w:fill="E8F0FE" w:val="clea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6"/>
                    </w:rPr>
                    <w:t>0.7708</w:t>
                  </w:r>
                </w:p>
              </w:tc>
              <w:tc>
                <w:tcPr>
                  <w:tcW w:type="dxa" w:w="3591"/>
                  <w:shd w:fill="E8F0FE" w:val="clea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6"/>
                    </w:rPr>
                    <w:t>0.7255</w:t>
                  </w:r>
                </w:p>
              </w:tc>
            </w:tr>
            <w:tr>
              <w:tc>
                <w:tcPr>
                  <w:tcW w:type="dxa" w:w="3591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6"/>
                    </w:rPr>
                    <w:t>Weighted F1-Score</w:t>
                  </w:r>
                </w:p>
              </w:tc>
              <w:tc>
                <w:tcPr>
                  <w:tcW w:type="dxa" w:w="3591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6"/>
                    </w:rPr>
                    <w:t>0.7531</w:t>
                  </w:r>
                </w:p>
              </w:tc>
              <w:tc>
                <w:tcPr>
                  <w:tcW w:type="dxa" w:w="3591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6"/>
                    </w:rPr>
                    <w:t>0.7189</w:t>
                  </w:r>
                </w:p>
              </w:tc>
            </w:tr>
            <w:tr>
              <w:tc>
                <w:tcPr>
                  <w:tcW w:type="dxa" w:w="3591"/>
                  <w:shd w:fill="E8F0FE" w:val="clea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6"/>
                    </w:rPr>
                    <w:t>Pipeline Time</w:t>
                  </w:r>
                </w:p>
              </w:tc>
              <w:tc>
                <w:tcPr>
                  <w:tcW w:type="dxa" w:w="3591"/>
                  <w:shd w:fill="E8F0FE" w:val="clea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6"/>
                    </w:rPr>
                    <w:t>0.74 s</w:t>
                  </w:r>
                </w:p>
              </w:tc>
              <w:tc>
                <w:tcPr>
                  <w:tcW w:type="dxa" w:w="3591"/>
                  <w:shd w:fill="E8F0FE" w:val="clea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6"/>
                    </w:rPr>
                    <w:t>7.60 s</w:t>
                  </w:r>
                </w:p>
              </w:tc>
            </w:tr>
            <w:tr>
              <w:tc>
                <w:tcPr>
                  <w:tcW w:type="dxa" w:w="3591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6"/>
                    </w:rPr>
                    <w:t>Target Scale</w:t>
                  </w:r>
                </w:p>
              </w:tc>
              <w:tc>
                <w:tcPr>
                  <w:tcW w:type="dxa" w:w="3591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6"/>
                    </w:rPr>
                    <w:t>&lt; 2 GB</w:t>
                  </w:r>
                </w:p>
              </w:tc>
              <w:tc>
                <w:tcPr>
                  <w:tcW w:type="dxa" w:w="3591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6"/>
                    </w:rPr>
                    <w:t>100 GB+</w:t>
                  </w:r>
                </w:p>
              </w:tc>
            </w:tr>
          </w:tbl>
          <w:p/>
          <w:p>
            <w:pPr>
              <w:spacing w:after="40" w:before="0"/>
            </w:pPr>
            <w:r>
              <w:rPr>
                <w:rFonts w:ascii="Arial" w:hAnsi="Arial"/>
                <w:b/>
                <w:sz w:val="22"/>
              </w:rPr>
              <w:t>C. Scalability Benchmarks</w:t>
            </w:r>
          </w:p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154"/>
              <w:gridCol w:w="2154"/>
              <w:gridCol w:w="2154"/>
              <w:gridCol w:w="2154"/>
              <w:gridCol w:w="2154"/>
            </w:tblGrid>
            <w:tr>
              <w:tc>
                <w:tcPr>
                  <w:tcW w:type="dxa" w:w="2154"/>
                  <w:shd w:fill="1F4E79" w:val="clea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6"/>
                    </w:rPr>
                    <w:t>Slice</w:t>
                  </w:r>
                </w:p>
              </w:tc>
              <w:tc>
                <w:tcPr>
                  <w:tcW w:type="dxa" w:w="2154"/>
                  <w:shd w:fill="1F4E79" w:val="clea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6"/>
                    </w:rPr>
                    <w:t>Sklearn Acc.</w:t>
                  </w:r>
                </w:p>
              </w:tc>
              <w:tc>
                <w:tcPr>
                  <w:tcW w:type="dxa" w:w="2154"/>
                  <w:shd w:fill="1F4E79" w:val="clea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6"/>
                    </w:rPr>
                    <w:t>Spark Acc.</w:t>
                  </w:r>
                </w:p>
              </w:tc>
              <w:tc>
                <w:tcPr>
                  <w:tcW w:type="dxa" w:w="2154"/>
                  <w:shd w:fill="1F4E79" w:val="clea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6"/>
                    </w:rPr>
                    <w:t>Sklearn Time</w:t>
                  </w:r>
                </w:p>
              </w:tc>
              <w:tc>
                <w:tcPr>
                  <w:tcW w:type="dxa" w:w="2154"/>
                  <w:shd w:fill="1F4E79" w:val="clea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6"/>
                    </w:rPr>
                    <w:t>Spark Time</w:t>
                  </w:r>
                </w:p>
              </w:tc>
            </w:tr>
            <w:tr>
              <w:tc>
                <w:tcPr>
                  <w:tcW w:type="dxa" w:w="2154"/>
                  <w:shd w:fill="E8F0FE" w:val="clea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6"/>
                    </w:rPr>
                    <w:t>10%</w:t>
                  </w:r>
                </w:p>
              </w:tc>
              <w:tc>
                <w:tcPr>
                  <w:tcW w:type="dxa" w:w="2154"/>
                  <w:shd w:fill="E8F0FE" w:val="clea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6"/>
                    </w:rPr>
                    <w:t>69.28%</w:t>
                  </w:r>
                </w:p>
              </w:tc>
              <w:tc>
                <w:tcPr>
                  <w:tcW w:type="dxa" w:w="2154"/>
                  <w:shd w:fill="E8F0FE" w:val="clea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6"/>
                    </w:rPr>
                    <w:t>70.30%</w:t>
                  </w:r>
                </w:p>
              </w:tc>
              <w:tc>
                <w:tcPr>
                  <w:tcW w:type="dxa" w:w="2154"/>
                  <w:shd w:fill="E8F0FE" w:val="clea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6"/>
                    </w:rPr>
                    <w:t>0.05 s</w:t>
                  </w:r>
                </w:p>
              </w:tc>
              <w:tc>
                <w:tcPr>
                  <w:tcW w:type="dxa" w:w="2154"/>
                  <w:shd w:fill="E8F0FE" w:val="clea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6"/>
                    </w:rPr>
                    <w:t>4.99 s</w:t>
                  </w:r>
                </w:p>
              </w:tc>
            </w:tr>
            <w:tr>
              <w:tc>
                <w:tcPr>
                  <w:tcW w:type="dxa" w:w="2154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6"/>
                    </w:rPr>
                    <w:t>25%</w:t>
                  </w:r>
                </w:p>
              </w:tc>
              <w:tc>
                <w:tcPr>
                  <w:tcW w:type="dxa" w:w="2154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6"/>
                    </w:rPr>
                    <w:t>74.59%</w:t>
                  </w:r>
                </w:p>
              </w:tc>
              <w:tc>
                <w:tcPr>
                  <w:tcW w:type="dxa" w:w="2154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6"/>
                    </w:rPr>
                    <w:t>68.29%</w:t>
                  </w:r>
                </w:p>
              </w:tc>
              <w:tc>
                <w:tcPr>
                  <w:tcW w:type="dxa" w:w="2154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6"/>
                    </w:rPr>
                    <w:t>0.17 s</w:t>
                  </w:r>
                </w:p>
              </w:tc>
              <w:tc>
                <w:tcPr>
                  <w:tcW w:type="dxa" w:w="2154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6"/>
                    </w:rPr>
                    <w:t>1.55 s</w:t>
                  </w:r>
                </w:p>
              </w:tc>
            </w:tr>
            <w:tr>
              <w:tc>
                <w:tcPr>
                  <w:tcW w:type="dxa" w:w="2154"/>
                  <w:shd w:fill="E8F0FE" w:val="clea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6"/>
                    </w:rPr>
                    <w:t>50%</w:t>
                  </w:r>
                </w:p>
              </w:tc>
              <w:tc>
                <w:tcPr>
                  <w:tcW w:type="dxa" w:w="2154"/>
                  <w:shd w:fill="E8F0FE" w:val="clea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6"/>
                    </w:rPr>
                    <w:t>75.75%</w:t>
                  </w:r>
                </w:p>
              </w:tc>
              <w:tc>
                <w:tcPr>
                  <w:tcW w:type="dxa" w:w="2154"/>
                  <w:shd w:fill="E8F0FE" w:val="clea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6"/>
                    </w:rPr>
                    <w:t>67.25%</w:t>
                  </w:r>
                </w:p>
              </w:tc>
              <w:tc>
                <w:tcPr>
                  <w:tcW w:type="dxa" w:w="2154"/>
                  <w:shd w:fill="E8F0FE" w:val="clea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6"/>
                    </w:rPr>
                    <w:t>0.23 s</w:t>
                  </w:r>
                </w:p>
              </w:tc>
              <w:tc>
                <w:tcPr>
                  <w:tcW w:type="dxa" w:w="2154"/>
                  <w:shd w:fill="E8F0FE" w:val="clea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6"/>
                    </w:rPr>
                    <w:t>1.51 s</w:t>
                  </w:r>
                </w:p>
              </w:tc>
            </w:tr>
            <w:tr>
              <w:tc>
                <w:tcPr>
                  <w:tcW w:type="dxa" w:w="2154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6"/>
                    </w:rPr>
                    <w:t>100%</w:t>
                  </w:r>
                </w:p>
              </w:tc>
              <w:tc>
                <w:tcPr>
                  <w:tcW w:type="dxa" w:w="2154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6"/>
                    </w:rPr>
                    <w:t>79.06%</w:t>
                  </w:r>
                </w:p>
              </w:tc>
              <w:tc>
                <w:tcPr>
                  <w:tcW w:type="dxa" w:w="2154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6"/>
                    </w:rPr>
                    <w:t>72.55%</w:t>
                  </w:r>
                </w:p>
              </w:tc>
              <w:tc>
                <w:tcPr>
                  <w:tcW w:type="dxa" w:w="2154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6"/>
                    </w:rPr>
                    <w:t>0.43 s</w:t>
                  </w:r>
                </w:p>
              </w:tc>
              <w:tc>
                <w:tcPr>
                  <w:tcW w:type="dxa" w:w="2154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/>
                      <w:sz w:val="16"/>
                    </w:rPr>
                    <w:t>1.73 s</w:t>
                  </w:r>
                </w:p>
              </w:tc>
            </w:tr>
          </w:tbl>
          <w:p/>
          <w:p>
            <w:pPr>
              <w:spacing w:after="40" w:before="0"/>
            </w:pPr>
            <w:r>
              <w:rPr>
                <w:rFonts w:ascii="Arial" w:hAnsi="Arial"/>
                <w:b/>
                <w:sz w:val="22"/>
              </w:rPr>
              <w:t>D. Intelligent Routing</w:t>
            </w:r>
          </w:p>
          <w:p>
            <w:pPr>
              <w:spacing w:after="20" w:before="0"/>
              <w:ind w:left="283"/>
            </w:pPr>
            <w:r>
              <w:rPr>
                <w:rFonts w:ascii="Arial" w:hAnsi="Arial"/>
                <w:sz w:val="18"/>
              </w:rPr>
              <w:t xml:space="preserve">• </w:t>
            </w:r>
            <w:r>
              <w:rPr>
                <w:rFonts w:ascii="Arial" w:hAnsi="Arial"/>
                <w:sz w:val="18"/>
              </w:rPr>
              <w:t>Compound reviews decomposed into per-clause analysis</w:t>
            </w:r>
          </w:p>
          <w:p>
            <w:pPr>
              <w:spacing w:after="20" w:before="0"/>
              <w:ind w:left="283"/>
            </w:pPr>
            <w:r>
              <w:rPr>
                <w:rFonts w:ascii="Arial" w:hAnsi="Arial"/>
                <w:sz w:val="18"/>
              </w:rPr>
              <w:t xml:space="preserve">• </w:t>
            </w:r>
            <w:r>
              <w:rPr>
                <w:rFonts w:ascii="Arial" w:hAnsi="Arial"/>
                <w:sz w:val="18"/>
              </w:rPr>
              <w:t>Meta NLI Zero-Shot: 82-95% confidence in department classification</w:t>
            </w:r>
          </w:p>
          <w:p>
            <w:pPr>
              <w:spacing w:after="20" w:before="0"/>
              <w:ind w:left="283"/>
            </w:pPr>
            <w:r>
              <w:rPr>
                <w:rFonts w:ascii="Arial" w:hAnsi="Arial"/>
                <w:sz w:val="18"/>
              </w:rPr>
              <w:t xml:space="preserve">• </w:t>
            </w:r>
            <w:r>
              <w:rPr>
                <w:rFonts w:ascii="Arial" w:hAnsi="Arial"/>
                <w:sz w:val="18"/>
              </w:rPr>
              <w:t>Automated HIGH/MEDIUM/LOW priority ticket generation</w:t>
            </w:r>
          </w:p>
          <w:p>
            <w:pPr>
              <w:spacing w:before="120" w:after="60"/>
            </w:pPr>
            <w:r>
              <w:rPr>
                <w:rFonts w:ascii="Arial" w:hAnsi="Arial"/>
                <w:b/>
                <w:color w:val="003366"/>
                <w:sz w:val="26"/>
              </w:rPr>
              <w:t>6. Conclusion</w:t>
            </w:r>
          </w:p>
          <w:p>
            <w:pPr>
              <w:spacing w:after="40" w:before="0"/>
            </w:pPr>
            <w:r>
              <w:rPr>
                <w:rFonts w:ascii="Arial" w:hAnsi="Arial"/>
                <w:b w:val="0"/>
                <w:sz w:val="18"/>
              </w:rPr>
              <w:t>AirRoute AI demonstrates an end-to-end scalable Big Data and NLP system for airline passenger sentiment analysis. The system compresses data via PySpark ETL (39.4% reduction), achieves 77.08% sentiment accuracy with dual ML paradigms, decomposes compound reviews into clause-level analysis, routes feedback to correct departments via Zero-Shot NLI, and automates ticket lifecycle management with FastAPI + Streamlit.</w:t>
            </w:r>
          </w:p>
        </w:tc>
      </w:tr>
    </w:tbl>
    <w:p>
      <w:pPr>
        <w:spacing w:after="80"/>
      </w:pPr>
    </w:p>
    <w:p>
      <w:pPr>
        <w:jc w:val="center"/>
      </w:pPr>
      <w:r>
        <w:rPr>
          <w:color w:val="003366"/>
          <w:sz w:val="12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0"/>
            </w:pPr>
          </w:p>
        </w:tc>
        <w:tc>
          <w:tcPr>
            <w:tcW w:type="dxa" w:w="1105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0"/>
            </w:pPr>
          </w:p>
        </w:tc>
      </w:tr>
      <w:tr>
        <w:tc>
          <w:tcPr>
            <w:tcW w:type="dxa" w:w="1105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1105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</w:tr>
      <w:tr>
        <w:tc>
          <w:tcPr>
            <w:tcW w:type="dxa" w:w="1105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Faculty Signature</w:t>
            </w:r>
          </w:p>
        </w:tc>
        <w:tc>
          <w:tcPr>
            <w:tcW w:type="dxa" w:w="1105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External Examiner's Signature</w:t>
            </w:r>
          </w:p>
        </w:tc>
      </w:tr>
    </w:tbl>
    <w:sectPr w:rsidR="00FC693F" w:rsidRPr="0006063C" w:rsidSect="00034616">
      <w:pgSz w:w="23811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