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43A5" w14:textId="77777777" w:rsidR="00DB4ADB" w:rsidRDefault="00C37E16">
      <w:pPr>
        <w:pBdr>
          <w:bottom w:val="single" w:sz="4" w:space="4" w:color="78BE20"/>
        </w:pBdr>
        <w:spacing w:after="100"/>
      </w:pPr>
      <w:r>
        <w:rPr>
          <w:rFonts w:ascii="Arial Black" w:eastAsia="Arial Black" w:hAnsi="Arial Black" w:cs="Arial Black"/>
          <w:sz w:val="48"/>
          <w:szCs w:val="48"/>
        </w:rPr>
        <w:t>DMSi Pipeline Automation for Configuration</w:t>
      </w:r>
    </w:p>
    <w:p w14:paraId="30474EA5" w14:textId="77777777" w:rsidR="00DB4ADB" w:rsidRDefault="00C37E16">
      <w:pPr>
        <w:pStyle w:val="Heading2"/>
      </w:pPr>
      <w:r>
        <w:t>The Plan</w:t>
      </w:r>
    </w:p>
    <w:p w14:paraId="3AA0E86F" w14:textId="77777777" w:rsidR="00DB4ADB" w:rsidRDefault="00C37E16">
      <w:pPr>
        <w:pStyle w:val="Body"/>
      </w:pPr>
      <w:r>
        <w:t>Pipeline automation is a foundational capability of this engagement. This document sets out the first phase of how it gets built: config as code. Six steps that move customer runtime environment configuration under pipeline automation, starting with NGINX and ending with a production admin-access policy change that makes the pipeline the default path for production configuration change.</w:t>
      </w:r>
    </w:p>
    <w:p w14:paraId="4A01B1A8" w14:textId="77777777" w:rsidR="00DB4ADB" w:rsidRDefault="00C37E16">
      <w:pPr>
        <w:pStyle w:val="Body"/>
      </w:pPr>
      <w:r>
        <w:t>Config as code is the intermediate goal. It addresses one of the operational problems DMSi is absorbing today, where many customer-impacting incidents trace back to configuration. Pipeline automation for application code is the follow-on initiative that builds on the same foundation: same tooling, same runner pattern, same Cloudflare connectivity layer. That work is known and sequenced after this one. The PoC and the infrastructure Steps 1 through 5 establish are designed to carry both.</w:t>
      </w:r>
    </w:p>
    <w:p w14:paraId="3E0950E0" w14:textId="77777777" w:rsidR="00DB4ADB" w:rsidRDefault="00C37E16">
      <w:pPr>
        <w:pStyle w:val="Body"/>
      </w:pPr>
      <w:r>
        <w:t>Step 1 applies the existing PoC pipeline to a first DMSi NGINX environment. Steps 2 and 3 run in parallel: Step 2 validates drift control over 30 to 60 days of real operational data, while Step 3 classifies DMSi's applications so the next onboardings are ready when validation clears. Step 4 onboards applications in sequence once Step 2 validates. Step 5 scopes access tightly at each onboarding, running alongside Step 4. Step 6, sequenced last, tightens human admin access to production so the pipeline become</w:t>
      </w:r>
      <w:r>
        <w:t>s the default path for production configuration change.</w:t>
      </w:r>
    </w:p>
    <w:p w14:paraId="067068DC" w14:textId="77777777" w:rsidR="00DB4ADB" w:rsidRDefault="00C37E16">
      <w:pPr>
        <w:pStyle w:val="Body"/>
      </w:pPr>
      <w:r>
        <w:t>Step 6 is the most consequential piece of the sequence. It is named up front rather than at the end because the earlier steps are building toward it, and engineering leadership should see it coming from the start.</w:t>
      </w:r>
    </w:p>
    <w:p w14:paraId="21737E57" w14:textId="77777777" w:rsidR="00DB4ADB" w:rsidRDefault="00C37E16">
      <w:pPr>
        <w:pStyle w:val="Heading2"/>
      </w:pPr>
      <w:r>
        <w:t>Why This Matters</w:t>
      </w:r>
    </w:p>
    <w:p w14:paraId="66C28ED8" w14:textId="77777777" w:rsidR="00DB4ADB" w:rsidRDefault="00C37E16">
      <w:pPr>
        <w:pStyle w:val="Body"/>
      </w:pPr>
      <w:r>
        <w:t xml:space="preserve">One of the biggest operational pains generating customer escalations at DMSi is in how the software is deployed and configured. Configuration lives on a local network drive with no version control, no history, and no reliable way to </w:t>
      </w:r>
      <w:proofErr w:type="gramStart"/>
      <w:r>
        <w:t>answer</w:t>
      </w:r>
      <w:proofErr w:type="gramEnd"/>
      <w:r>
        <w:t xml:space="preserve"> "what changed and when." Specific individuals carry deployment knowledge in their heads, which has worked until it stops working. Engineering leadership's own estimate is that automating customer runtime environment configuration resolves a meaningful share of the operational noise engineering absorbs today.</w:t>
      </w:r>
    </w:p>
    <w:p w14:paraId="50EED9FF" w14:textId="77777777" w:rsidR="00DB4ADB" w:rsidRDefault="00C37E16">
      <w:pPr>
        <w:pStyle w:val="Body"/>
      </w:pPr>
      <w:r>
        <w:t>Config as code is the capability that closes this. The goal is simple to state: no configuration changes are made to a customer runtime environment except through a pipeline that is auditable, repeatable, and reversible.</w:t>
      </w:r>
    </w:p>
    <w:p w14:paraId="6CEB5DD6" w14:textId="77777777" w:rsidR="00261530" w:rsidRDefault="00261530">
      <w:pPr>
        <w:pStyle w:val="Body"/>
      </w:pPr>
    </w:p>
    <w:p w14:paraId="52835603" w14:textId="77777777" w:rsidR="00261530" w:rsidRDefault="00261530">
      <w:pPr>
        <w:pStyle w:val="Body"/>
      </w:pPr>
    </w:p>
    <w:p w14:paraId="762DEA31" w14:textId="77777777" w:rsidR="00DB4ADB" w:rsidRDefault="00C37E16">
      <w:pPr>
        <w:pStyle w:val="Heading2"/>
      </w:pPr>
      <w:r>
        <w:lastRenderedPageBreak/>
        <w:t xml:space="preserve">The Sequence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DB4ADB" w14:paraId="7F3C276F" w14:textId="77777777">
        <w:tblPrEx>
          <w:tblCellMar>
            <w:top w:w="0" w:type="dxa"/>
            <w:bottom w:w="0" w:type="dxa"/>
          </w:tblCellMar>
        </w:tblPrEx>
        <w:tc>
          <w:tcPr>
            <w:tcW w:w="120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5A7E62D8" w14:textId="77777777" w:rsidR="00DB4ADB" w:rsidRDefault="00C37E16">
            <w:pPr>
              <w:pStyle w:val="TableHeaderText"/>
            </w:pPr>
            <w:r>
              <w:t>Step</w:t>
            </w:r>
          </w:p>
        </w:tc>
        <w:tc>
          <w:tcPr>
            <w:tcW w:w="420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3DA2DADA" w14:textId="77777777" w:rsidR="00DB4ADB" w:rsidRDefault="00C37E16">
            <w:pPr>
              <w:pStyle w:val="TableHeaderText"/>
            </w:pPr>
            <w:r>
              <w:t>What</w:t>
            </w:r>
          </w:p>
        </w:tc>
        <w:tc>
          <w:tcPr>
            <w:tcW w:w="396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2BB2A3A1" w14:textId="77777777" w:rsidR="00DB4ADB" w:rsidRDefault="00C37E16">
            <w:pPr>
              <w:pStyle w:val="TableHeaderText"/>
            </w:pPr>
            <w:r>
              <w:t>Outcome</w:t>
            </w:r>
          </w:p>
        </w:tc>
      </w:tr>
      <w:tr w:rsidR="00DB4ADB" w14:paraId="01E25393" w14:textId="77777777">
        <w:tblPrEx>
          <w:tblCellMar>
            <w:top w:w="0" w:type="dxa"/>
            <w:bottom w:w="0" w:type="dxa"/>
          </w:tblCellMar>
        </w:tblPrEx>
        <w:tc>
          <w:tcPr>
            <w:tcW w:w="1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41C1C642" w14:textId="77777777" w:rsidR="00DB4ADB" w:rsidRDefault="00C37E16">
            <w:pPr>
              <w:pStyle w:val="TableBodyText"/>
            </w:pPr>
            <w:r>
              <w:t>1</w:t>
            </w:r>
          </w:p>
        </w:tc>
        <w:tc>
          <w:tcPr>
            <w:tcW w:w="4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41DFB242" w14:textId="77777777" w:rsidR="00DB4ADB" w:rsidRDefault="00C37E16">
            <w:pPr>
              <w:pStyle w:val="TableBodyText"/>
            </w:pPr>
            <w:r>
              <w:t>Apply the pipeline to a first DMSi NGINX environment; harden in parallel</w:t>
            </w:r>
          </w:p>
        </w:tc>
        <w:tc>
          <w:tcPr>
            <w:tcW w:w="396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3DC6777A" w14:textId="77777777" w:rsidR="00DB4ADB" w:rsidRDefault="00C37E16">
            <w:pPr>
              <w:pStyle w:val="TableBodyText"/>
            </w:pPr>
            <w:r>
              <w:t>Real DMSi infrastructure under pipeline management</w:t>
            </w:r>
          </w:p>
        </w:tc>
      </w:tr>
      <w:tr w:rsidR="00DB4ADB" w14:paraId="0244A53D" w14:textId="77777777">
        <w:tblPrEx>
          <w:tblCellMar>
            <w:top w:w="0" w:type="dxa"/>
            <w:bottom w:w="0" w:type="dxa"/>
          </w:tblCellMar>
        </w:tblPrEx>
        <w:tc>
          <w:tcPr>
            <w:tcW w:w="1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62ACD01E" w14:textId="77777777" w:rsidR="00DB4ADB" w:rsidRDefault="00C37E16">
            <w:pPr>
              <w:pStyle w:val="TableBodyText"/>
            </w:pPr>
            <w:r>
              <w:t>2 (parallel with 3)</w:t>
            </w:r>
          </w:p>
        </w:tc>
        <w:tc>
          <w:tcPr>
            <w:tcW w:w="4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1AB90511" w14:textId="77777777" w:rsidR="00DB4ADB" w:rsidRDefault="00C37E16">
            <w:pPr>
              <w:pStyle w:val="TableBodyText"/>
            </w:pPr>
            <w:r>
              <w:t>Run a 30 to 60 day drift-control validation window</w:t>
            </w:r>
          </w:p>
        </w:tc>
        <w:tc>
          <w:tcPr>
            <w:tcW w:w="396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47041273" w14:textId="77777777" w:rsidR="00DB4ADB" w:rsidRDefault="00C37E16">
            <w:pPr>
              <w:pStyle w:val="TableBodyText"/>
            </w:pPr>
            <w:r>
              <w:t>Documented evidence the pipeline is authoritative</w:t>
            </w:r>
          </w:p>
        </w:tc>
      </w:tr>
      <w:tr w:rsidR="00DB4ADB" w14:paraId="1DE4C1AA" w14:textId="77777777">
        <w:tblPrEx>
          <w:tblCellMar>
            <w:top w:w="0" w:type="dxa"/>
            <w:bottom w:w="0" w:type="dxa"/>
          </w:tblCellMar>
        </w:tblPrEx>
        <w:tc>
          <w:tcPr>
            <w:tcW w:w="1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1E83D860" w14:textId="77777777" w:rsidR="00DB4ADB" w:rsidRDefault="00C37E16">
            <w:pPr>
              <w:pStyle w:val="TableBodyText"/>
            </w:pPr>
            <w:r>
              <w:t>3 (parallel with 2)</w:t>
            </w:r>
          </w:p>
        </w:tc>
        <w:tc>
          <w:tcPr>
            <w:tcW w:w="4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43108BBB" w14:textId="77777777" w:rsidR="00DB4ADB" w:rsidRDefault="00C37E16">
            <w:pPr>
              <w:pStyle w:val="TableBodyText"/>
            </w:pPr>
            <w:r>
              <w:t>Classify DMSi's applications against the pipeline pattern</w:t>
            </w:r>
          </w:p>
        </w:tc>
        <w:tc>
          <w:tcPr>
            <w:tcW w:w="396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6CCD5FE5" w14:textId="77777777" w:rsidR="00DB4ADB" w:rsidRDefault="00C37E16">
            <w:pPr>
              <w:pStyle w:val="TableBodyText"/>
            </w:pPr>
            <w:r>
              <w:t>Inventory ready so onboarding can start the day Step 2 validates</w:t>
            </w:r>
          </w:p>
        </w:tc>
      </w:tr>
      <w:tr w:rsidR="00DB4ADB" w14:paraId="5AF4562F" w14:textId="77777777">
        <w:tblPrEx>
          <w:tblCellMar>
            <w:top w:w="0" w:type="dxa"/>
            <w:bottom w:w="0" w:type="dxa"/>
          </w:tblCellMar>
        </w:tblPrEx>
        <w:tc>
          <w:tcPr>
            <w:tcW w:w="1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6BE658C4" w14:textId="77777777" w:rsidR="00DB4ADB" w:rsidRDefault="00C37E16">
            <w:pPr>
              <w:pStyle w:val="TableBodyText"/>
            </w:pPr>
            <w:r>
              <w:t>4</w:t>
            </w:r>
          </w:p>
        </w:tc>
        <w:tc>
          <w:tcPr>
            <w:tcW w:w="4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7EE85860" w14:textId="77777777" w:rsidR="00DB4ADB" w:rsidRDefault="00C37E16">
            <w:pPr>
              <w:pStyle w:val="TableBodyText"/>
            </w:pPr>
            <w:r>
              <w:t>Onboard applications in sequence at a sustainable cadence</w:t>
            </w:r>
          </w:p>
        </w:tc>
        <w:tc>
          <w:tcPr>
            <w:tcW w:w="396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329360C6" w14:textId="77777777" w:rsidR="00DB4ADB" w:rsidRDefault="00C37E16">
            <w:pPr>
              <w:pStyle w:val="TableBodyText"/>
            </w:pPr>
            <w:r>
              <w:t>Applications progressively under pipeline management</w:t>
            </w:r>
          </w:p>
        </w:tc>
      </w:tr>
      <w:tr w:rsidR="00DB4ADB" w14:paraId="673EAAC7" w14:textId="77777777">
        <w:tblPrEx>
          <w:tblCellMar>
            <w:top w:w="0" w:type="dxa"/>
            <w:bottom w:w="0" w:type="dxa"/>
          </w:tblCellMar>
        </w:tblPrEx>
        <w:tc>
          <w:tcPr>
            <w:tcW w:w="1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6A9B2323" w14:textId="77777777" w:rsidR="00DB4ADB" w:rsidRDefault="00C37E16">
            <w:pPr>
              <w:pStyle w:val="TableBodyText"/>
            </w:pPr>
            <w:r>
              <w:t>5 (alongside 4)</w:t>
            </w:r>
          </w:p>
        </w:tc>
        <w:tc>
          <w:tcPr>
            <w:tcW w:w="4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5C9FDC4A" w14:textId="77777777" w:rsidR="00DB4ADB" w:rsidRDefault="00C37E16">
            <w:pPr>
              <w:pStyle w:val="TableBodyText"/>
            </w:pPr>
            <w:r>
              <w:t>Scope AWS, Cloudflare, and host access per application</w:t>
            </w:r>
          </w:p>
        </w:tc>
        <w:tc>
          <w:tcPr>
            <w:tcW w:w="396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BD2F645" w14:textId="77777777" w:rsidR="00DB4ADB" w:rsidRDefault="00C37E16">
            <w:pPr>
              <w:pStyle w:val="TableBodyText"/>
            </w:pPr>
            <w:r>
              <w:t>Least-privilege at onboarding, not retrofitted later</w:t>
            </w:r>
          </w:p>
        </w:tc>
      </w:tr>
      <w:tr w:rsidR="00DB4ADB" w14:paraId="4BEB97A6" w14:textId="77777777">
        <w:tblPrEx>
          <w:tblCellMar>
            <w:top w:w="0" w:type="dxa"/>
            <w:bottom w:w="0" w:type="dxa"/>
          </w:tblCellMar>
        </w:tblPrEx>
        <w:tc>
          <w:tcPr>
            <w:tcW w:w="1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6A2A7BEB" w14:textId="77777777" w:rsidR="00DB4ADB" w:rsidRDefault="00C37E16">
            <w:pPr>
              <w:pStyle w:val="TableBodyText"/>
            </w:pPr>
            <w:r>
              <w:t>6</w:t>
            </w:r>
          </w:p>
        </w:tc>
        <w:tc>
          <w:tcPr>
            <w:tcW w:w="4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7AE0C839" w14:textId="77777777" w:rsidR="00DB4ADB" w:rsidRDefault="00C37E16">
            <w:pPr>
              <w:pStyle w:val="TableBodyText"/>
            </w:pPr>
            <w:r>
              <w:t>Tighten human admin access to production environments</w:t>
            </w:r>
          </w:p>
        </w:tc>
        <w:tc>
          <w:tcPr>
            <w:tcW w:w="396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1C6E3B74" w14:textId="77777777" w:rsidR="00DB4ADB" w:rsidRDefault="00C37E16">
            <w:pPr>
              <w:pStyle w:val="TableBodyText"/>
            </w:pPr>
            <w:r>
              <w:t>Pipeline becomes default path; human admin reserved for named roles</w:t>
            </w:r>
          </w:p>
        </w:tc>
      </w:tr>
    </w:tbl>
    <w:p w14:paraId="28259239" w14:textId="77777777" w:rsidR="00DB4ADB" w:rsidRDefault="00C37E16">
      <w:pPr>
        <w:pStyle w:val="Body"/>
      </w:pPr>
      <w:r>
        <w:t>Step 6 cutover waits for migration completion, but Step 6 preparation (retained-admin definition, break-glass procedure, monitoring) runs during Step 4 so the cutover window is concentrated rather than extended.</w:t>
      </w:r>
    </w:p>
    <w:p w14:paraId="44676328" w14:textId="77777777" w:rsidR="00DB4ADB" w:rsidRDefault="00C37E16">
      <w:pPr>
        <w:pStyle w:val="Body"/>
      </w:pPr>
      <w:r>
        <w:t>The capability build is multi-quarter and runs three tracks in parallel: technical (the pipeline extending to new applications), organizational (the access policy change), and behavioral (operators changing how they interact with production). Each step produces a real operational benefit even if the next step never happens.</w:t>
      </w:r>
    </w:p>
    <w:p w14:paraId="4D53D630" w14:textId="77777777" w:rsidR="00DB4ADB" w:rsidRDefault="00C37E16">
      <w:pPr>
        <w:pStyle w:val="Body"/>
      </w:pPr>
      <w:r>
        <w:t>Step-by-step detail, door types, stop conditions, capability scope, and the behavioral-change discussion are in the companion detail document.</w:t>
      </w:r>
    </w:p>
    <w:p w14:paraId="244CD56B" w14:textId="77777777" w:rsidR="00DB4ADB" w:rsidRDefault="00C37E16">
      <w:pPr>
        <w:pStyle w:val="Heading2"/>
      </w:pPr>
      <w:r>
        <w:t>What Comes After This</w:t>
      </w:r>
    </w:p>
    <w:p w14:paraId="32A42584" w14:textId="77777777" w:rsidR="00DB4ADB" w:rsidRDefault="00C37E16">
      <w:pPr>
        <w:pStyle w:val="Body"/>
      </w:pPr>
      <w:r>
        <w:t xml:space="preserve">This plan delivers config as code. The follow-on initiative is pipeline automation for application code, where the same GitHub Actions, the same runner pool, the same Cloudflare connectivity layer, and the same operational patterns extend to build, test, and deploy application binaries. That work consumes rather than replaces what this plan builds. The </w:t>
      </w:r>
      <w:proofErr w:type="spellStart"/>
      <w:r>
        <w:t>OpenEdge</w:t>
      </w:r>
      <w:proofErr w:type="spellEnd"/>
      <w:r>
        <w:t xml:space="preserve"> work in the Implementation Options document is one major component of it; other application code streams follow from the classifications in Step 3.</w:t>
      </w:r>
    </w:p>
    <w:p w14:paraId="5E4002E8" w14:textId="77777777" w:rsidR="00DB4ADB" w:rsidRDefault="00C37E16">
      <w:pPr>
        <w:pStyle w:val="Body"/>
      </w:pPr>
      <w:r>
        <w:t>Naming this here so the config as code investment is understood as the foundation it is, not a terminal capability.</w:t>
      </w:r>
    </w:p>
    <w:p w14:paraId="55171988" w14:textId="77777777" w:rsidR="00261530" w:rsidRDefault="00261530">
      <w:pPr>
        <w:pStyle w:val="Body"/>
      </w:pPr>
    </w:p>
    <w:p w14:paraId="6BE38BA1" w14:textId="77777777" w:rsidR="00261530" w:rsidRDefault="00261530">
      <w:pPr>
        <w:pStyle w:val="Body"/>
      </w:pPr>
    </w:p>
    <w:p w14:paraId="60B131CF" w14:textId="77777777" w:rsidR="00261530" w:rsidRDefault="00261530">
      <w:pPr>
        <w:pStyle w:val="Body"/>
      </w:pPr>
    </w:p>
    <w:p w14:paraId="48D4E843" w14:textId="77777777" w:rsidR="00261530" w:rsidRDefault="00261530">
      <w:pPr>
        <w:pStyle w:val="Body"/>
      </w:pPr>
    </w:p>
    <w:p w14:paraId="58BC62D5" w14:textId="77777777" w:rsidR="00DB4ADB" w:rsidRDefault="00C37E16">
      <w:pPr>
        <w:pStyle w:val="Heading2"/>
      </w:pPr>
      <w:r>
        <w:lastRenderedPageBreak/>
        <w:t>What Dynamo Needs from DMSi</w:t>
      </w:r>
    </w:p>
    <w:p w14:paraId="4E287C70" w14:textId="77777777" w:rsidR="00DB4ADB" w:rsidRDefault="00C37E16">
      <w:pPr>
        <w:pStyle w:val="Body"/>
      </w:pPr>
      <w:r>
        <w:t>Three deliverables. The work stalls without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DB4ADB" w14:paraId="09A1C455" w14:textId="77777777">
        <w:tblPrEx>
          <w:tblCellMar>
            <w:top w:w="0" w:type="dxa"/>
            <w:bottom w:w="0" w:type="dxa"/>
          </w:tblCellMar>
        </w:tblPrEx>
        <w:tc>
          <w:tcPr>
            <w:tcW w:w="280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023AC695" w14:textId="77777777" w:rsidR="00DB4ADB" w:rsidRDefault="00C37E16">
            <w:pPr>
              <w:pStyle w:val="TableHeaderText"/>
            </w:pPr>
            <w:r>
              <w:t>What</w:t>
            </w:r>
          </w:p>
        </w:tc>
        <w:tc>
          <w:tcPr>
            <w:tcW w:w="22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23E0F934" w14:textId="77777777" w:rsidR="00DB4ADB" w:rsidRDefault="00C37E16">
            <w:pPr>
              <w:pStyle w:val="TableHeaderText"/>
            </w:pPr>
            <w:r>
              <w:t>When</w:t>
            </w:r>
          </w:p>
        </w:tc>
        <w:tc>
          <w:tcPr>
            <w:tcW w:w="42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08C506C7" w14:textId="77777777" w:rsidR="00DB4ADB" w:rsidRDefault="00C37E16">
            <w:pPr>
              <w:pStyle w:val="TableHeaderText"/>
            </w:pPr>
            <w:r>
              <w:t>Why</w:t>
            </w:r>
          </w:p>
        </w:tc>
      </w:tr>
      <w:tr w:rsidR="00DB4ADB" w14:paraId="18A64228" w14:textId="77777777">
        <w:tblPrEx>
          <w:tblCellMar>
            <w:top w:w="0" w:type="dxa"/>
            <w:bottom w:w="0" w:type="dxa"/>
          </w:tblCellMar>
        </w:tblPrEx>
        <w:tc>
          <w:tcPr>
            <w:tcW w:w="28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1DF5A1A9" w14:textId="77777777" w:rsidR="00DB4ADB" w:rsidRDefault="00C37E16">
            <w:pPr>
              <w:pStyle w:val="TableBodyText"/>
            </w:pPr>
            <w:r>
              <w:t>PoC permissions: AWS access for the runner host (narrow); Cloudflare Access policy granting the runner identity reach to the first NGINX VM through DMSi's existing tunnel; on-target credentials (SSH or equivalent) for Ansible; GitHub repository access and runner registration.</w:t>
            </w:r>
          </w:p>
        </w:tc>
        <w:tc>
          <w:tcPr>
            <w:tcW w:w="2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3478D62" w14:textId="77777777" w:rsidR="00DB4ADB" w:rsidRDefault="00C37E16">
            <w:pPr>
              <w:pStyle w:val="TableBodyText"/>
            </w:pPr>
            <w:r>
              <w:t>Before Step 1</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1B07E343" w14:textId="77777777" w:rsidR="00DB4ADB" w:rsidRDefault="00C37E16">
            <w:pPr>
              <w:pStyle w:val="TableBodyText"/>
            </w:pPr>
            <w:r>
              <w:t>Without these, the PoC cannot move off Dynamo infrastructure. The Cloudflare piece replaces what would otherwise be VPN setup; the work is "grant the runner an identity" rather than "open a network path."</w:t>
            </w:r>
          </w:p>
        </w:tc>
      </w:tr>
      <w:tr w:rsidR="00DB4ADB" w14:paraId="55BB4402" w14:textId="77777777">
        <w:tblPrEx>
          <w:tblCellMar>
            <w:top w:w="0" w:type="dxa"/>
            <w:bottom w:w="0" w:type="dxa"/>
          </w:tblCellMar>
        </w:tblPrEx>
        <w:tc>
          <w:tcPr>
            <w:tcW w:w="28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3D44B094" w14:textId="77777777" w:rsidR="00DB4ADB" w:rsidRDefault="00C37E16">
            <w:pPr>
              <w:pStyle w:val="TableBodyText"/>
            </w:pPr>
            <w:r>
              <w:t>Application list: every application DMSi deploys, with name, owner, current deployment method, target hosts and environments, hosting environment (</w:t>
            </w:r>
            <w:proofErr w:type="spellStart"/>
            <w:r>
              <w:t>Tierpoint</w:t>
            </w:r>
            <w:proofErr w:type="spellEnd"/>
            <w:r>
              <w:t>, AWS, on-premises, other), and current Cloudflare reachability.</w:t>
            </w:r>
          </w:p>
        </w:tc>
        <w:tc>
          <w:tcPr>
            <w:tcW w:w="2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0F36F283" w14:textId="77777777" w:rsidR="00DB4ADB" w:rsidRDefault="00C37E16">
            <w:pPr>
              <w:pStyle w:val="TableBodyText"/>
            </w:pPr>
            <w:r>
              <w:t>Two to three weeks into the Step 2 window, ahead of the Step 3 working session</w:t>
            </w:r>
          </w:p>
        </w:tc>
        <w:tc>
          <w:tcPr>
            <w:tcW w:w="4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4A024FC6" w14:textId="77777777" w:rsidR="00DB4ADB" w:rsidRDefault="00C37E16">
            <w:pPr>
              <w:pStyle w:val="TableBodyText"/>
            </w:pPr>
            <w:r>
              <w:t>This is the raw input for the inventory. Starting Step 3 during the Step 2 validation window means the working session is ready as soon as Step 1 is stable, rather than two months later.</w:t>
            </w:r>
          </w:p>
        </w:tc>
      </w:tr>
      <w:tr w:rsidR="00DB4ADB" w14:paraId="47631BE1" w14:textId="77777777">
        <w:tblPrEx>
          <w:tblCellMar>
            <w:top w:w="0" w:type="dxa"/>
            <w:bottom w:w="0" w:type="dxa"/>
          </w:tblCellMar>
        </w:tblPrEx>
        <w:tc>
          <w:tcPr>
            <w:tcW w:w="28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C2CDBD8" w14:textId="77777777" w:rsidR="00DB4ADB" w:rsidRDefault="00C37E16">
            <w:pPr>
              <w:pStyle w:val="TableBodyText"/>
            </w:pPr>
            <w:r>
              <w:t>Per-application access: as each application is queued for onboarding under Step 4, the current configuration files, plus a Cloudflare Access policy extension for the runner identity to reach that application's targets (or equivalent for non-Cloudflare targets), plus on-target credentials for Ansible.</w:t>
            </w:r>
          </w:p>
        </w:tc>
        <w:tc>
          <w:tcPr>
            <w:tcW w:w="2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2FFA9C26" w14:textId="77777777" w:rsidR="00DB4ADB" w:rsidRDefault="00C37E16">
            <w:pPr>
              <w:pStyle w:val="TableBodyText"/>
            </w:pPr>
            <w:r>
              <w:t>Per-application, before Step 4 onboarding</w:t>
            </w:r>
          </w:p>
        </w:tc>
        <w:tc>
          <w:tcPr>
            <w:tcW w:w="4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3C453DDD" w14:textId="77777777" w:rsidR="00DB4ADB" w:rsidRDefault="00C37E16">
            <w:pPr>
              <w:pStyle w:val="TableBodyText"/>
            </w:pPr>
            <w:r>
              <w:t>Configuration files are the raw material for templates. Cloudflare Access policy is what gives the runner reach. Onboarding stalls if either is missing.</w:t>
            </w:r>
          </w:p>
        </w:tc>
      </w:tr>
    </w:tbl>
    <w:p w14:paraId="4031635A" w14:textId="77777777" w:rsidR="00DB4ADB" w:rsidRDefault="00C37E16">
      <w:pPr>
        <w:pStyle w:val="Body"/>
      </w:pPr>
      <w:r>
        <w:t>Delays in any of these extend the corresponding step proportionally.</w:t>
      </w:r>
    </w:p>
    <w:p w14:paraId="41BD3AA7" w14:textId="77777777" w:rsidR="00DB4ADB" w:rsidRDefault="00C37E16">
      <w:pPr>
        <w:pStyle w:val="Heading2"/>
      </w:pPr>
      <w:r>
        <w:t>Decisions DMSi Will Need to Make</w:t>
      </w:r>
    </w:p>
    <w:p w14:paraId="137FF309" w14:textId="77777777" w:rsidR="00DB4ADB" w:rsidRDefault="00C37E16">
      <w:pPr>
        <w:pStyle w:val="Body"/>
      </w:pPr>
      <w:r>
        <w:t>None of these block Step 1. They start to matter at Step 3 and accumulate through Step 6. Naming them here so the owners and timing are visible from the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80"/>
        <w:gridCol w:w="2280"/>
      </w:tblGrid>
      <w:tr w:rsidR="00DB4ADB" w14:paraId="76017C69"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2E9B55FF" w14:textId="77777777" w:rsidR="00DB4ADB" w:rsidRDefault="00C37E16">
            <w:pPr>
              <w:pStyle w:val="TableHeaderText"/>
            </w:pPr>
            <w:r>
              <w:t>Decision</w:t>
            </w:r>
          </w:p>
        </w:tc>
        <w:tc>
          <w:tcPr>
            <w:tcW w:w="28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183ED42E" w14:textId="77777777" w:rsidR="00DB4ADB" w:rsidRDefault="00C37E16">
            <w:pPr>
              <w:pStyle w:val="TableHeaderText"/>
            </w:pPr>
            <w:r>
              <w:t>Owner</w:t>
            </w:r>
          </w:p>
        </w:tc>
        <w:tc>
          <w:tcPr>
            <w:tcW w:w="2280" w:type="dxa"/>
            <w:tcBorders>
              <w:top w:val="single" w:sz="1" w:space="0" w:color="ADB3B7"/>
              <w:left w:val="single" w:sz="1" w:space="0" w:color="ADB3B7"/>
              <w:bottom w:val="single" w:sz="1" w:space="0" w:color="ADB3B7"/>
              <w:right w:val="single" w:sz="1" w:space="0" w:color="ADB3B7"/>
            </w:tcBorders>
            <w:shd w:val="clear" w:color="auto" w:fill="78BE20"/>
            <w:tcMar>
              <w:top w:w="60" w:type="dxa"/>
              <w:left w:w="100" w:type="dxa"/>
              <w:bottom w:w="60" w:type="dxa"/>
              <w:right w:w="100" w:type="dxa"/>
            </w:tcMar>
          </w:tcPr>
          <w:p w14:paraId="3D5EB98F" w14:textId="77777777" w:rsidR="00DB4ADB" w:rsidRDefault="00C37E16">
            <w:pPr>
              <w:pStyle w:val="TableHeaderText"/>
            </w:pPr>
            <w:r>
              <w:t>When</w:t>
            </w:r>
          </w:p>
        </w:tc>
      </w:tr>
      <w:tr w:rsidR="00DB4ADB" w14:paraId="4C22AAA8"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320EC3B4" w14:textId="77777777" w:rsidR="00DB4ADB" w:rsidRDefault="00C37E16">
            <w:pPr>
              <w:pStyle w:val="TableBodyText"/>
            </w:pPr>
            <w:r>
              <w:t>Choice of secrets manager</w:t>
            </w:r>
          </w:p>
        </w:tc>
        <w:tc>
          <w:tcPr>
            <w:tcW w:w="28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B769818" w14:textId="77777777" w:rsidR="00DB4ADB" w:rsidRDefault="00C37E16">
            <w:pPr>
              <w:pStyle w:val="TableBodyText"/>
            </w:pPr>
            <w:r>
              <w:t>Engineering leadership with security input</w:t>
            </w:r>
          </w:p>
        </w:tc>
        <w:tc>
          <w:tcPr>
            <w:tcW w:w="2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FB5CA68" w14:textId="77777777" w:rsidR="00DB4ADB" w:rsidRDefault="00C37E16">
            <w:pPr>
              <w:pStyle w:val="TableBodyText"/>
            </w:pPr>
            <w:r>
              <w:t>Before Step 5</w:t>
            </w:r>
          </w:p>
        </w:tc>
      </w:tr>
      <w:tr w:rsidR="00DB4ADB" w14:paraId="3FC2F2A1"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68F9D5AE" w14:textId="77777777" w:rsidR="00DB4ADB" w:rsidRDefault="00C37E16">
            <w:pPr>
              <w:pStyle w:val="TableBodyText"/>
            </w:pPr>
            <w:r>
              <w:lastRenderedPageBreak/>
              <w:t>Runner pool strategy (default: single AWS-hosted pool reaching all targets through Cloudflare)</w:t>
            </w:r>
          </w:p>
        </w:tc>
        <w:tc>
          <w:tcPr>
            <w:tcW w:w="28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53876E91" w14:textId="77777777" w:rsidR="00DB4ADB" w:rsidRDefault="00C37E16">
            <w:pPr>
              <w:pStyle w:val="TableBodyText"/>
            </w:pPr>
            <w:r>
              <w:t>Engineering leadership with Cloudflare administrator and security input</w:t>
            </w:r>
          </w:p>
        </w:tc>
        <w:tc>
          <w:tcPr>
            <w:tcW w:w="2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0DA9A245" w14:textId="77777777" w:rsidR="00DB4ADB" w:rsidRDefault="00C37E16">
            <w:pPr>
              <w:pStyle w:val="TableBodyText"/>
            </w:pPr>
            <w:r>
              <w:t>Before Step 4 onboards a second application</w:t>
            </w:r>
          </w:p>
        </w:tc>
      </w:tr>
      <w:tr w:rsidR="00DB4ADB" w14:paraId="5562FA8C"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34E2E1DB" w14:textId="77777777" w:rsidR="00DB4ADB" w:rsidRDefault="00C37E16">
            <w:pPr>
              <w:pStyle w:val="TableBodyText"/>
            </w:pPr>
            <w:r>
              <w:t>Cloudflare Access policy structure: per application, per class, or hybrid</w:t>
            </w:r>
          </w:p>
        </w:tc>
        <w:tc>
          <w:tcPr>
            <w:tcW w:w="28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EFF6074" w14:textId="77777777" w:rsidR="00DB4ADB" w:rsidRDefault="00C37E16">
            <w:pPr>
              <w:pStyle w:val="TableBodyText"/>
            </w:pPr>
            <w:r>
              <w:t>Cloudflare administrator with engineering leadership</w:t>
            </w:r>
          </w:p>
        </w:tc>
        <w:tc>
          <w:tcPr>
            <w:tcW w:w="2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26243070" w14:textId="77777777" w:rsidR="00DB4ADB" w:rsidRDefault="00C37E16">
            <w:pPr>
              <w:pStyle w:val="TableBodyText"/>
            </w:pPr>
            <w:r>
              <w:t>Before Step 4 onboards a second application</w:t>
            </w:r>
          </w:p>
        </w:tc>
      </w:tr>
      <w:tr w:rsidR="00DB4ADB" w14:paraId="25FD89D6"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5132C019" w14:textId="77777777" w:rsidR="00DB4ADB" w:rsidRDefault="00C37E16">
            <w:pPr>
              <w:pStyle w:val="TableBodyText"/>
            </w:pPr>
            <w:r>
              <w:t>Named owner per onboarded application</w:t>
            </w:r>
          </w:p>
        </w:tc>
        <w:tc>
          <w:tcPr>
            <w:tcW w:w="28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230066DC" w14:textId="77777777" w:rsidR="00DB4ADB" w:rsidRDefault="00C37E16">
            <w:pPr>
              <w:pStyle w:val="TableBodyText"/>
            </w:pPr>
            <w:r>
              <w:t>Engineering leadership</w:t>
            </w:r>
          </w:p>
        </w:tc>
        <w:tc>
          <w:tcPr>
            <w:tcW w:w="2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6176CF5A" w14:textId="77777777" w:rsidR="00DB4ADB" w:rsidRDefault="00C37E16">
            <w:pPr>
              <w:pStyle w:val="TableBodyText"/>
            </w:pPr>
            <w:r>
              <w:t>Per application, before its pipeline goes live</w:t>
            </w:r>
          </w:p>
        </w:tc>
      </w:tr>
      <w:tr w:rsidR="00DB4ADB" w14:paraId="0ECB1406"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A9D9DED" w14:textId="77777777" w:rsidR="00DB4ADB" w:rsidRDefault="00C37E16">
            <w:pPr>
              <w:pStyle w:val="TableBodyText"/>
            </w:pPr>
            <w:r>
              <w:t>Retained-admin roles and named individuals</w:t>
            </w:r>
          </w:p>
        </w:tc>
        <w:tc>
          <w:tcPr>
            <w:tcW w:w="28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5BC05600" w14:textId="77777777" w:rsidR="00DB4ADB" w:rsidRDefault="00C37E16">
            <w:pPr>
              <w:pStyle w:val="TableBodyText"/>
            </w:pPr>
            <w:r>
              <w:t>Engineering leadership with security and incident management input</w:t>
            </w:r>
          </w:p>
        </w:tc>
        <w:tc>
          <w:tcPr>
            <w:tcW w:w="2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7CB03415" w14:textId="77777777" w:rsidR="00DB4ADB" w:rsidRDefault="00C37E16">
            <w:pPr>
              <w:pStyle w:val="TableBodyText"/>
            </w:pPr>
            <w:r>
              <w:t>Drafted during Step 4, finalized before Step 6 cutover</w:t>
            </w:r>
          </w:p>
        </w:tc>
      </w:tr>
      <w:tr w:rsidR="00DB4ADB" w14:paraId="0AEAC30F"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1FCBF08A" w14:textId="77777777" w:rsidR="00DB4ADB" w:rsidRDefault="00C37E16">
            <w:pPr>
              <w:pStyle w:val="TableBodyText"/>
            </w:pPr>
            <w:r>
              <w:t>Break-glass procedure (including Cloudflare Access policy elevation)</w:t>
            </w:r>
          </w:p>
        </w:tc>
        <w:tc>
          <w:tcPr>
            <w:tcW w:w="28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6DD7A71C" w14:textId="77777777" w:rsidR="00DB4ADB" w:rsidRDefault="00C37E16">
            <w:pPr>
              <w:pStyle w:val="TableBodyText"/>
            </w:pPr>
            <w:r>
              <w:t>Engineering leadership with security, incident management, and Cloudflare administrator input</w:t>
            </w:r>
          </w:p>
        </w:tc>
        <w:tc>
          <w:tcPr>
            <w:tcW w:w="2280" w:type="dxa"/>
            <w:tcBorders>
              <w:top w:val="single" w:sz="1" w:space="0" w:color="ADB3B7"/>
              <w:left w:val="single" w:sz="1" w:space="0" w:color="ADB3B7"/>
              <w:bottom w:val="single" w:sz="1" w:space="0" w:color="ADB3B7"/>
              <w:right w:val="single" w:sz="1" w:space="0" w:color="ADB3B7"/>
            </w:tcBorders>
            <w:tcMar>
              <w:top w:w="60" w:type="dxa"/>
              <w:left w:w="100" w:type="dxa"/>
              <w:bottom w:w="60" w:type="dxa"/>
              <w:right w:w="100" w:type="dxa"/>
            </w:tcMar>
          </w:tcPr>
          <w:p w14:paraId="0532DA3B" w14:textId="77777777" w:rsidR="00DB4ADB" w:rsidRDefault="00C37E16">
            <w:pPr>
              <w:pStyle w:val="TableBodyText"/>
            </w:pPr>
            <w:r>
              <w:t>Drafted during Step 4, finalized before Step 6 cutover</w:t>
            </w:r>
          </w:p>
        </w:tc>
      </w:tr>
      <w:tr w:rsidR="00DB4ADB" w14:paraId="0522240D" w14:textId="77777777">
        <w:tblPrEx>
          <w:tblCellMar>
            <w:top w:w="0" w:type="dxa"/>
            <w:bottom w:w="0" w:type="dxa"/>
          </w:tblCellMar>
        </w:tblPrEx>
        <w:tc>
          <w:tcPr>
            <w:tcW w:w="420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6B49BDB6" w14:textId="77777777" w:rsidR="00DB4ADB" w:rsidRDefault="00C37E16">
            <w:pPr>
              <w:pStyle w:val="TableBodyText"/>
            </w:pPr>
            <w:r>
              <w:t>Threshold for acceptable break-glass frequency</w:t>
            </w:r>
          </w:p>
        </w:tc>
        <w:tc>
          <w:tcPr>
            <w:tcW w:w="28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06FFCFDA" w14:textId="77777777" w:rsidR="00DB4ADB" w:rsidRDefault="00C37E16">
            <w:pPr>
              <w:pStyle w:val="TableBodyText"/>
            </w:pPr>
            <w:r>
              <w:t>Engineering leadership</w:t>
            </w:r>
          </w:p>
        </w:tc>
        <w:tc>
          <w:tcPr>
            <w:tcW w:w="2280" w:type="dxa"/>
            <w:tcBorders>
              <w:top w:val="single" w:sz="1" w:space="0" w:color="ADB3B7"/>
              <w:left w:val="single" w:sz="1" w:space="0" w:color="ADB3B7"/>
              <w:bottom w:val="single" w:sz="1" w:space="0" w:color="ADB3B7"/>
              <w:right w:val="single" w:sz="1" w:space="0" w:color="ADB3B7"/>
            </w:tcBorders>
            <w:shd w:val="clear" w:color="auto" w:fill="F3F4F5"/>
            <w:tcMar>
              <w:top w:w="60" w:type="dxa"/>
              <w:left w:w="100" w:type="dxa"/>
              <w:bottom w:w="60" w:type="dxa"/>
              <w:right w:w="100" w:type="dxa"/>
            </w:tcMar>
          </w:tcPr>
          <w:p w14:paraId="1ED5A4DB" w14:textId="77777777" w:rsidR="00DB4ADB" w:rsidRDefault="00C37E16">
            <w:pPr>
              <w:pStyle w:val="TableBodyText"/>
            </w:pPr>
            <w:r>
              <w:t>Before Step 6 cutover</w:t>
            </w:r>
          </w:p>
        </w:tc>
      </w:tr>
    </w:tbl>
    <w:p w14:paraId="09CDCCEF" w14:textId="77777777" w:rsidR="00DB4ADB" w:rsidRDefault="00C37E16">
      <w:pPr>
        <w:pStyle w:val="Heading2"/>
      </w:pPr>
      <w:r>
        <w:t>Next Steps</w:t>
      </w:r>
    </w:p>
    <w:p w14:paraId="373BA7DE" w14:textId="77777777" w:rsidR="00DB4ADB" w:rsidRDefault="00C37E16">
      <w:pPr>
        <w:pStyle w:val="Body"/>
      </w:pPr>
      <w:r>
        <w:t>In order:</w:t>
      </w:r>
    </w:p>
    <w:p w14:paraId="06A3CE96" w14:textId="77777777" w:rsidR="00DB4ADB" w:rsidRDefault="00C37E16">
      <w:pPr>
        <w:pStyle w:val="Body"/>
        <w:numPr>
          <w:ilvl w:val="0"/>
          <w:numId w:val="2"/>
        </w:numPr>
        <w:spacing w:before="0" w:after="60"/>
      </w:pPr>
      <w:r>
        <w:t>DMSi provides AWS access for the runner, the Cloudflare Access policy for the runner identity to reach the target, and on-target credentials for Ansible.</w:t>
      </w:r>
    </w:p>
    <w:p w14:paraId="55390949" w14:textId="77777777" w:rsidR="00DB4ADB" w:rsidRDefault="00C37E16">
      <w:pPr>
        <w:pStyle w:val="Body"/>
        <w:numPr>
          <w:ilvl w:val="0"/>
          <w:numId w:val="2"/>
        </w:numPr>
        <w:spacing w:before="0" w:after="60"/>
      </w:pPr>
      <w:r>
        <w:t>Dynamo stands up the first DMSi NGINX environment on the pipeline (Step 1).</w:t>
      </w:r>
    </w:p>
    <w:p w14:paraId="08262996" w14:textId="77777777" w:rsidR="00DB4ADB" w:rsidRDefault="00C37E16">
      <w:pPr>
        <w:pStyle w:val="Body"/>
        <w:numPr>
          <w:ilvl w:val="0"/>
          <w:numId w:val="2"/>
        </w:numPr>
        <w:spacing w:before="0" w:after="60"/>
      </w:pPr>
      <w:r>
        <w:t>Step 2 validation window begins. DMSi provides the application list during this window so Step 3 can run in parallel.</w:t>
      </w:r>
    </w:p>
    <w:p w14:paraId="3B1620D5" w14:textId="77777777" w:rsidR="00DB4ADB" w:rsidRDefault="00C37E16">
      <w:pPr>
        <w:pStyle w:val="Body"/>
        <w:numPr>
          <w:ilvl w:val="0"/>
          <w:numId w:val="2"/>
        </w:numPr>
        <w:spacing w:before="0" w:after="60"/>
      </w:pPr>
      <w:r>
        <w:t>A 90-minute working session with engineering leadership (two to three weeks into the Step 2 window) to review the application list, begin Step 3 classification, and identify the first Step 4 onboarding candidates.</w:t>
      </w:r>
    </w:p>
    <w:p w14:paraId="5AF64DD7" w14:textId="77777777" w:rsidR="00DB4ADB" w:rsidRDefault="00C37E16">
      <w:pPr>
        <w:pStyle w:val="Body"/>
        <w:numPr>
          <w:ilvl w:val="0"/>
          <w:numId w:val="2"/>
        </w:numPr>
        <w:spacing w:before="0" w:after="60"/>
      </w:pPr>
      <w:r>
        <w:t>As each application comes up for onboarding under Step 4, DMSi provides its current configuration files, Cloudflare Access policy extension, and on-target credentials.</w:t>
      </w:r>
    </w:p>
    <w:p w14:paraId="36150F5E" w14:textId="77777777" w:rsidR="00DB4ADB" w:rsidRDefault="00C37E16">
      <w:pPr>
        <w:pStyle w:val="Body"/>
      </w:pPr>
      <w:r>
        <w:t>Dynamo will prepare the agenda and the inventory template.</w:t>
      </w:r>
    </w:p>
    <w:sectPr w:rsidR="00DB4AD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F7EF7" w14:textId="77777777" w:rsidR="00C37E16" w:rsidRDefault="00C37E16">
      <w:r>
        <w:separator/>
      </w:r>
    </w:p>
  </w:endnote>
  <w:endnote w:type="continuationSeparator" w:id="0">
    <w:p w14:paraId="1AFD47FA" w14:textId="77777777" w:rsidR="00C37E16" w:rsidRDefault="00C37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C1B2" w14:textId="77777777" w:rsidR="00DB4ADB" w:rsidRDefault="00C37E16">
    <w:pPr>
      <w:pStyle w:val="Footer"/>
      <w:tabs>
        <w:tab w:val="center" w:pos="4513"/>
      </w:tabs>
    </w:pPr>
    <w:r>
      <w:t>Dynamo Confidential</w:t>
    </w:r>
    <w:r>
      <w:ptab w:relativeTo="margin" w:alignment="center" w:leader="none"/>
    </w:r>
    <w:r>
      <w:t xml:space="preserve">Page </w:t>
    </w:r>
    <w:r>
      <w:fldChar w:fldCharType="begin"/>
    </w:r>
    <w:r>
      <w:instrText>PAGE</w:instrText>
    </w:r>
    <w:r>
      <w:fldChar w:fldCharType="separate"/>
    </w:r>
    <w:r w:rsidR="002615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E4D33" w14:textId="77777777" w:rsidR="00C37E16" w:rsidRDefault="00C37E16">
      <w:r>
        <w:separator/>
      </w:r>
    </w:p>
  </w:footnote>
  <w:footnote w:type="continuationSeparator" w:id="0">
    <w:p w14:paraId="70797AFC" w14:textId="77777777" w:rsidR="00C37E16" w:rsidRDefault="00C37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6B58" w14:textId="77777777" w:rsidR="00DB4ADB" w:rsidRDefault="00C37E16">
    <w:pPr>
      <w:spacing w:after="720"/>
    </w:pPr>
    <w:r>
      <w:rPr>
        <w:noProof/>
      </w:rPr>
      <w:drawing>
        <wp:inline distT="0" distB="0" distL="0" distR="0" wp14:anchorId="2FE12EBB" wp14:editId="6CCA91E0">
          <wp:extent cx="142875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04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2404"/>
    <w:multiLevelType w:val="hybridMultilevel"/>
    <w:tmpl w:val="C378866C"/>
    <w:lvl w:ilvl="0" w:tplc="796CBA20">
      <w:start w:val="1"/>
      <w:numFmt w:val="decimal"/>
      <w:lvlText w:val="%1."/>
      <w:lvlJc w:val="left"/>
      <w:pPr>
        <w:ind w:left="720" w:hanging="360"/>
      </w:pPr>
    </w:lvl>
    <w:lvl w:ilvl="1" w:tplc="FD5EC984">
      <w:numFmt w:val="decimal"/>
      <w:lvlText w:val=""/>
      <w:lvlJc w:val="left"/>
    </w:lvl>
    <w:lvl w:ilvl="2" w:tplc="7F3EDD8C">
      <w:numFmt w:val="decimal"/>
      <w:lvlText w:val=""/>
      <w:lvlJc w:val="left"/>
    </w:lvl>
    <w:lvl w:ilvl="3" w:tplc="BE1A7BBC">
      <w:numFmt w:val="decimal"/>
      <w:lvlText w:val=""/>
      <w:lvlJc w:val="left"/>
    </w:lvl>
    <w:lvl w:ilvl="4" w:tplc="6DB2C08C">
      <w:numFmt w:val="decimal"/>
      <w:lvlText w:val=""/>
      <w:lvlJc w:val="left"/>
    </w:lvl>
    <w:lvl w:ilvl="5" w:tplc="401E4EB6">
      <w:numFmt w:val="decimal"/>
      <w:lvlText w:val=""/>
      <w:lvlJc w:val="left"/>
    </w:lvl>
    <w:lvl w:ilvl="6" w:tplc="F39ADE58">
      <w:numFmt w:val="decimal"/>
      <w:lvlText w:val=""/>
      <w:lvlJc w:val="left"/>
    </w:lvl>
    <w:lvl w:ilvl="7" w:tplc="5E3A6E64">
      <w:numFmt w:val="decimal"/>
      <w:lvlText w:val=""/>
      <w:lvlJc w:val="left"/>
    </w:lvl>
    <w:lvl w:ilvl="8" w:tplc="6A5A9BE8">
      <w:numFmt w:val="decimal"/>
      <w:lvlText w:val=""/>
      <w:lvlJc w:val="left"/>
    </w:lvl>
  </w:abstractNum>
  <w:abstractNum w:abstractNumId="1" w15:restartNumberingAfterBreak="0">
    <w:nsid w:val="3C030F9B"/>
    <w:multiLevelType w:val="hybridMultilevel"/>
    <w:tmpl w:val="BA34F17A"/>
    <w:lvl w:ilvl="0" w:tplc="713C97FA">
      <w:start w:val="1"/>
      <w:numFmt w:val="bullet"/>
      <w:lvlText w:val="●"/>
      <w:lvlJc w:val="left"/>
      <w:pPr>
        <w:ind w:left="720" w:hanging="360"/>
      </w:pPr>
    </w:lvl>
    <w:lvl w:ilvl="1" w:tplc="DCEAA6B8">
      <w:start w:val="1"/>
      <w:numFmt w:val="bullet"/>
      <w:lvlText w:val="○"/>
      <w:lvlJc w:val="left"/>
      <w:pPr>
        <w:ind w:left="1440" w:hanging="360"/>
      </w:pPr>
    </w:lvl>
    <w:lvl w:ilvl="2" w:tplc="7974BCAE">
      <w:start w:val="1"/>
      <w:numFmt w:val="bullet"/>
      <w:lvlText w:val="■"/>
      <w:lvlJc w:val="left"/>
      <w:pPr>
        <w:ind w:left="2160" w:hanging="360"/>
      </w:pPr>
    </w:lvl>
    <w:lvl w:ilvl="3" w:tplc="0624EC2A">
      <w:start w:val="1"/>
      <w:numFmt w:val="bullet"/>
      <w:lvlText w:val="●"/>
      <w:lvlJc w:val="left"/>
      <w:pPr>
        <w:ind w:left="2880" w:hanging="360"/>
      </w:pPr>
    </w:lvl>
    <w:lvl w:ilvl="4" w:tplc="C3B8E974">
      <w:start w:val="1"/>
      <w:numFmt w:val="bullet"/>
      <w:lvlText w:val="○"/>
      <w:lvlJc w:val="left"/>
      <w:pPr>
        <w:ind w:left="3600" w:hanging="360"/>
      </w:pPr>
    </w:lvl>
    <w:lvl w:ilvl="5" w:tplc="CD9687A0">
      <w:start w:val="1"/>
      <w:numFmt w:val="bullet"/>
      <w:lvlText w:val="■"/>
      <w:lvlJc w:val="left"/>
      <w:pPr>
        <w:ind w:left="4320" w:hanging="360"/>
      </w:pPr>
    </w:lvl>
    <w:lvl w:ilvl="6" w:tplc="A554EF32">
      <w:start w:val="1"/>
      <w:numFmt w:val="bullet"/>
      <w:lvlText w:val="●"/>
      <w:lvlJc w:val="left"/>
      <w:pPr>
        <w:ind w:left="5040" w:hanging="360"/>
      </w:pPr>
    </w:lvl>
    <w:lvl w:ilvl="7" w:tplc="1780E244">
      <w:start w:val="1"/>
      <w:numFmt w:val="bullet"/>
      <w:lvlText w:val="●"/>
      <w:lvlJc w:val="left"/>
      <w:pPr>
        <w:ind w:left="5760" w:hanging="360"/>
      </w:pPr>
    </w:lvl>
    <w:lvl w:ilvl="8" w:tplc="EADC7BA6">
      <w:start w:val="1"/>
      <w:numFmt w:val="bullet"/>
      <w:lvlText w:val="●"/>
      <w:lvlJc w:val="left"/>
      <w:pPr>
        <w:ind w:left="6480" w:hanging="360"/>
      </w:pPr>
    </w:lvl>
  </w:abstractNum>
  <w:abstractNum w:abstractNumId="2" w15:restartNumberingAfterBreak="0">
    <w:nsid w:val="5190409B"/>
    <w:multiLevelType w:val="hybridMultilevel"/>
    <w:tmpl w:val="6F10352C"/>
    <w:lvl w:ilvl="0" w:tplc="4A90E7C8">
      <w:start w:val="1"/>
      <w:numFmt w:val="bullet"/>
      <w:lvlText w:val="•"/>
      <w:lvlJc w:val="left"/>
      <w:pPr>
        <w:ind w:left="720" w:hanging="360"/>
      </w:pPr>
    </w:lvl>
    <w:lvl w:ilvl="1" w:tplc="A1EC50FE">
      <w:start w:val="1"/>
      <w:numFmt w:val="bullet"/>
      <w:lvlText w:val="–"/>
      <w:lvlJc w:val="left"/>
      <w:pPr>
        <w:ind w:left="1080" w:hanging="360"/>
      </w:pPr>
    </w:lvl>
    <w:lvl w:ilvl="2" w:tplc="A6BCE4AE">
      <w:numFmt w:val="decimal"/>
      <w:lvlText w:val=""/>
      <w:lvlJc w:val="left"/>
    </w:lvl>
    <w:lvl w:ilvl="3" w:tplc="7B34E116">
      <w:numFmt w:val="decimal"/>
      <w:lvlText w:val=""/>
      <w:lvlJc w:val="left"/>
    </w:lvl>
    <w:lvl w:ilvl="4" w:tplc="BB809962">
      <w:numFmt w:val="decimal"/>
      <w:lvlText w:val=""/>
      <w:lvlJc w:val="left"/>
    </w:lvl>
    <w:lvl w:ilvl="5" w:tplc="D45A03F8">
      <w:numFmt w:val="decimal"/>
      <w:lvlText w:val=""/>
      <w:lvlJc w:val="left"/>
    </w:lvl>
    <w:lvl w:ilvl="6" w:tplc="AD529376">
      <w:numFmt w:val="decimal"/>
      <w:lvlText w:val=""/>
      <w:lvlJc w:val="left"/>
    </w:lvl>
    <w:lvl w:ilvl="7" w:tplc="96BE656A">
      <w:numFmt w:val="decimal"/>
      <w:lvlText w:val=""/>
      <w:lvlJc w:val="left"/>
    </w:lvl>
    <w:lvl w:ilvl="8" w:tplc="F7481490">
      <w:numFmt w:val="decimal"/>
      <w:lvlText w:val=""/>
      <w:lvlJc w:val="left"/>
    </w:lvl>
  </w:abstractNum>
  <w:num w:numId="1" w16cid:durableId="1024209119">
    <w:abstractNumId w:val="1"/>
    <w:lvlOverride w:ilvl="0">
      <w:startOverride w:val="1"/>
    </w:lvlOverride>
  </w:num>
  <w:num w:numId="2" w16cid:durableId="1015183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ADB"/>
    <w:rsid w:val="00261530"/>
    <w:rsid w:val="00B21D76"/>
    <w:rsid w:val="00C37E16"/>
    <w:rsid w:val="00DB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E3D106"/>
  <w15:docId w15:val="{B8080200-13C8-4940-BEAC-CDD3C98E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528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rial" w:eastAsia="Arial" w:hAnsi="Arial" w:cs="Arial"/>
      <w:b/>
      <w:bCs/>
      <w:sz w:val="32"/>
      <w:szCs w:val="32"/>
    </w:rPr>
  </w:style>
  <w:style w:type="paragraph" w:styleId="Heading2">
    <w:name w:val="heading 2"/>
    <w:uiPriority w:val="9"/>
    <w:unhideWhenUsed/>
    <w:qFormat/>
    <w:pPr>
      <w:spacing w:before="360" w:after="160"/>
      <w:outlineLvl w:val="1"/>
    </w:pPr>
    <w:rPr>
      <w:rFonts w:ascii="Arial" w:eastAsia="Arial" w:hAnsi="Arial" w:cs="Arial"/>
      <w:b/>
      <w:bCs/>
      <w:sz w:val="26"/>
      <w:szCs w:val="26"/>
    </w:rPr>
  </w:style>
  <w:style w:type="paragraph" w:styleId="Heading3">
    <w:name w:val="heading 3"/>
    <w:uiPriority w:val="9"/>
    <w:semiHidden/>
    <w:unhideWhenUsed/>
    <w:qFormat/>
    <w:pPr>
      <w:spacing w:before="240" w:after="120"/>
      <w:outlineLvl w:val="2"/>
    </w:pPr>
    <w:rPr>
      <w:rFonts w:ascii="Arial" w:eastAsia="Arial" w:hAnsi="Arial" w:cs="Arial"/>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qFormat/>
    <w:pPr>
      <w:spacing w:before="120" w:after="120"/>
    </w:pPr>
  </w:style>
  <w:style w:type="paragraph" w:customStyle="1" w:styleId="MetadataLine">
    <w:name w:val="Metadata Line"/>
    <w:basedOn w:val="Body"/>
    <w:next w:val="Body"/>
    <w:qFormat/>
    <w:pPr>
      <w:spacing w:before="60" w:after="60"/>
    </w:pPr>
    <w:rPr>
      <w:color w:val="5B6770"/>
      <w:sz w:val="20"/>
      <w:szCs w:val="20"/>
    </w:rPr>
  </w:style>
  <w:style w:type="paragraph" w:customStyle="1" w:styleId="Callout">
    <w:name w:val="Callout"/>
    <w:basedOn w:val="Body"/>
    <w:next w:val="Body"/>
    <w:qFormat/>
    <w:pPr>
      <w:spacing w:before="160" w:after="160"/>
      <w:ind w:left="360" w:right="360"/>
    </w:pPr>
  </w:style>
  <w:style w:type="paragraph" w:styleId="Footer">
    <w:name w:val="footer"/>
    <w:qFormat/>
    <w:rPr>
      <w:color w:val="5B6770"/>
      <w:sz w:val="16"/>
      <w:szCs w:val="16"/>
    </w:rPr>
  </w:style>
  <w:style w:type="paragraph" w:styleId="Subtitle">
    <w:name w:val="Subtitle"/>
    <w:uiPriority w:val="11"/>
    <w:qFormat/>
    <w:pPr>
      <w:spacing w:before="240" w:after="120"/>
    </w:pPr>
    <w:rPr>
      <w:rFonts w:ascii="Arial Black" w:eastAsia="Arial Black" w:hAnsi="Arial Black" w:cs="Arial Black"/>
      <w:color w:val="78BE20"/>
      <w:sz w:val="20"/>
      <w:szCs w:val="20"/>
    </w:rPr>
  </w:style>
  <w:style w:type="paragraph" w:customStyle="1" w:styleId="TableHeaderText">
    <w:name w:val="Table Header Text"/>
    <w:next w:val="Body"/>
    <w:qFormat/>
    <w:rPr>
      <w:b/>
      <w:bCs/>
      <w:color w:val="FFFFFF"/>
      <w:sz w:val="20"/>
      <w:szCs w:val="20"/>
    </w:rPr>
  </w:style>
  <w:style w:type="paragraph" w:customStyle="1" w:styleId="TableBodyText">
    <w:name w:val="Table Body Text"/>
    <w:basedOn w:val="Body"/>
    <w:next w:val="Body"/>
    <w:qFormat/>
    <w:pPr>
      <w:spacing w:before="0" w:after="0"/>
    </w:pPr>
    <w:rPr>
      <w:sz w:val="20"/>
      <w:szCs w:val="20"/>
    </w:rPr>
  </w:style>
  <w:style w:type="character" w:customStyle="1" w:styleId="MetadataLabel">
    <w:name w:val="Metadata Label"/>
    <w:uiPriority w:val="99"/>
    <w:unhideWhenUsed/>
    <w:qFormat/>
    <w:rPr>
      <w:rFonts w:ascii="Aptos" w:eastAsia="Aptos" w:hAnsi="Aptos" w:cs="Aptos"/>
      <w:b/>
      <w:bCs/>
      <w:color w:val="5B6770"/>
      <w:sz w:val="20"/>
      <w:szCs w:val="20"/>
    </w:rPr>
  </w:style>
  <w:style w:type="character" w:customStyle="1" w:styleId="MetadataValue">
    <w:name w:val="Metadata Value"/>
    <w:uiPriority w:val="99"/>
    <w:unhideWhenUsed/>
    <w:qFormat/>
    <w:rPr>
      <w:rFonts w:ascii="Aptos" w:eastAsia="Aptos" w:hAnsi="Aptos" w:cs="Aptos"/>
      <w:color w:val="5B677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1244</Words>
  <Characters>7122</Characters>
  <Application>Microsoft Office Word</Application>
  <DocSecurity>0</DocSecurity>
  <Lines>136</Lines>
  <Paragraphs>71</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Cameron Ludwig</cp:lastModifiedBy>
  <cp:revision>2</cp:revision>
  <dcterms:created xsi:type="dcterms:W3CDTF">2026-04-21T15:16:00Z</dcterms:created>
  <dcterms:modified xsi:type="dcterms:W3CDTF">2026-04-21T15:16:00Z</dcterms:modified>
</cp:coreProperties>
</file>