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40E2" w14:textId="4DBA3E43" w:rsidR="008C333D" w:rsidRPr="0062499C" w:rsidRDefault="0062499C">
      <w:pPr>
        <w:rPr>
          <w:rFonts w:ascii="Times New Roman" w:hAnsi="Times New Roman" w:cs="Times New Roman"/>
        </w:rPr>
      </w:pPr>
      <w:r>
        <w:rPr>
          <w:rFonts w:ascii="Times New Roman" w:hAnsi="Times New Roman" w:cs="Times New Roman"/>
        </w:rPr>
        <w:t>Throughout</w:t>
      </w:r>
      <w:r w:rsidR="00A86F65" w:rsidRPr="0062499C">
        <w:rPr>
          <w:rFonts w:ascii="Times New Roman" w:hAnsi="Times New Roman" w:cs="Times New Roman"/>
        </w:rPr>
        <w:t xml:space="preserve"> the report, when an input size is specified as 100, it means that the matrix multiplication was done with 2 matrices, each is in the shape of 100 by 100. For brevity, all references to input size will be implied as such.</w:t>
      </w:r>
    </w:p>
    <w:p w14:paraId="1E888D25" w14:textId="77777777" w:rsidR="008C333D" w:rsidRPr="0062499C" w:rsidRDefault="008C333D">
      <w:pPr>
        <w:rPr>
          <w:rFonts w:ascii="Times New Roman" w:hAnsi="Times New Roman" w:cs="Times New Roman"/>
        </w:rPr>
      </w:pPr>
    </w:p>
    <w:p w14:paraId="5306D708" w14:textId="190CE3B6" w:rsidR="006C4151" w:rsidRPr="0062499C" w:rsidRDefault="006C4151">
      <w:pPr>
        <w:rPr>
          <w:rFonts w:ascii="Times New Roman" w:hAnsi="Times New Roman" w:cs="Times New Roman"/>
          <w:lang w:val="vi-VN"/>
        </w:rPr>
      </w:pPr>
      <w:r w:rsidRPr="0062499C">
        <w:rPr>
          <w:rFonts w:ascii="Times New Roman" w:hAnsi="Times New Roman" w:cs="Times New Roman"/>
        </w:rPr>
        <w:t>Run time analysis (in seconds)</w:t>
      </w:r>
    </w:p>
    <w:tbl>
      <w:tblPr>
        <w:tblStyle w:val="TableGrid"/>
        <w:tblW w:w="0" w:type="auto"/>
        <w:tblLook w:val="04A0" w:firstRow="1" w:lastRow="0" w:firstColumn="1" w:lastColumn="0" w:noHBand="0" w:noVBand="1"/>
      </w:tblPr>
      <w:tblGrid>
        <w:gridCol w:w="1870"/>
        <w:gridCol w:w="1095"/>
        <w:gridCol w:w="1800"/>
        <w:gridCol w:w="1710"/>
      </w:tblGrid>
      <w:tr w:rsidR="006C4151" w:rsidRPr="0062499C" w14:paraId="102C7AB3" w14:textId="77777777" w:rsidTr="006C4151">
        <w:trPr>
          <w:trHeight w:val="710"/>
        </w:trPr>
        <w:tc>
          <w:tcPr>
            <w:tcW w:w="1870" w:type="dxa"/>
            <w:tcBorders>
              <w:tl2br w:val="single" w:sz="4" w:space="0" w:color="auto"/>
            </w:tcBorders>
          </w:tcPr>
          <w:p w14:paraId="69078E47" w14:textId="06495B83" w:rsidR="006C4151" w:rsidRPr="0062499C" w:rsidRDefault="006C4151">
            <w:pPr>
              <w:rPr>
                <w:rFonts w:ascii="Times New Roman" w:hAnsi="Times New Roman" w:cs="Times New Roman"/>
              </w:rPr>
            </w:pPr>
            <w:r w:rsidRPr="0062499C">
              <w:rPr>
                <w:rFonts w:ascii="Times New Roman" w:hAnsi="Times New Roman" w:cs="Times New Roman"/>
              </w:rPr>
              <w:t xml:space="preserve">           Input size</w:t>
            </w:r>
          </w:p>
          <w:p w14:paraId="6F69D835" w14:textId="77777777" w:rsidR="006C4151" w:rsidRPr="0062499C" w:rsidRDefault="006C4151">
            <w:pPr>
              <w:rPr>
                <w:rFonts w:ascii="Times New Roman" w:hAnsi="Times New Roman" w:cs="Times New Roman"/>
              </w:rPr>
            </w:pPr>
          </w:p>
          <w:p w14:paraId="7D548CAB" w14:textId="4A984FD5" w:rsidR="006C4151" w:rsidRPr="0062499C" w:rsidRDefault="006C4151">
            <w:pPr>
              <w:rPr>
                <w:rFonts w:ascii="Times New Roman" w:hAnsi="Times New Roman" w:cs="Times New Roman"/>
              </w:rPr>
            </w:pPr>
            <w:r w:rsidRPr="0062499C">
              <w:rPr>
                <w:rFonts w:ascii="Times New Roman" w:hAnsi="Times New Roman" w:cs="Times New Roman"/>
              </w:rPr>
              <w:t>Tile size</w:t>
            </w:r>
          </w:p>
        </w:tc>
        <w:tc>
          <w:tcPr>
            <w:tcW w:w="1095" w:type="dxa"/>
          </w:tcPr>
          <w:p w14:paraId="2FA56C4A" w14:textId="497BAB9B" w:rsidR="006C4151" w:rsidRPr="0062499C" w:rsidRDefault="006C4151">
            <w:pPr>
              <w:rPr>
                <w:rFonts w:ascii="Times New Roman" w:hAnsi="Times New Roman" w:cs="Times New Roman"/>
              </w:rPr>
            </w:pPr>
            <w:r w:rsidRPr="0062499C">
              <w:rPr>
                <w:rFonts w:ascii="Times New Roman" w:hAnsi="Times New Roman" w:cs="Times New Roman"/>
              </w:rPr>
              <w:t>100</w:t>
            </w:r>
          </w:p>
        </w:tc>
        <w:tc>
          <w:tcPr>
            <w:tcW w:w="1800" w:type="dxa"/>
          </w:tcPr>
          <w:p w14:paraId="78382992" w14:textId="011A70EC" w:rsidR="006C4151" w:rsidRPr="0062499C" w:rsidRDefault="006C4151">
            <w:pPr>
              <w:rPr>
                <w:rFonts w:ascii="Times New Roman" w:hAnsi="Times New Roman" w:cs="Times New Roman"/>
              </w:rPr>
            </w:pPr>
            <w:r w:rsidRPr="0062499C">
              <w:rPr>
                <w:rFonts w:ascii="Times New Roman" w:hAnsi="Times New Roman" w:cs="Times New Roman"/>
              </w:rPr>
              <w:t>400</w:t>
            </w:r>
          </w:p>
        </w:tc>
        <w:tc>
          <w:tcPr>
            <w:tcW w:w="1710" w:type="dxa"/>
          </w:tcPr>
          <w:p w14:paraId="1D9FCC50" w14:textId="674EA1C1" w:rsidR="006C4151" w:rsidRPr="0062499C" w:rsidRDefault="006C4151">
            <w:pPr>
              <w:rPr>
                <w:rFonts w:ascii="Times New Roman" w:hAnsi="Times New Roman" w:cs="Times New Roman"/>
              </w:rPr>
            </w:pPr>
            <w:r w:rsidRPr="0062499C">
              <w:rPr>
                <w:rFonts w:ascii="Times New Roman" w:hAnsi="Times New Roman" w:cs="Times New Roman"/>
              </w:rPr>
              <w:t>1000</w:t>
            </w:r>
          </w:p>
        </w:tc>
      </w:tr>
      <w:tr w:rsidR="006C4151" w:rsidRPr="0062499C" w14:paraId="01BD770B" w14:textId="77777777" w:rsidTr="006C4151">
        <w:tc>
          <w:tcPr>
            <w:tcW w:w="1870" w:type="dxa"/>
          </w:tcPr>
          <w:p w14:paraId="156BEB3D" w14:textId="3262B91D" w:rsidR="006C4151" w:rsidRPr="0062499C" w:rsidRDefault="006C4151" w:rsidP="006C4151">
            <w:pPr>
              <w:rPr>
                <w:rFonts w:ascii="Times New Roman" w:hAnsi="Times New Roman" w:cs="Times New Roman"/>
              </w:rPr>
            </w:pPr>
            <w:r w:rsidRPr="0062499C">
              <w:rPr>
                <w:rFonts w:ascii="Times New Roman" w:hAnsi="Times New Roman" w:cs="Times New Roman"/>
              </w:rPr>
              <w:t>40</w:t>
            </w:r>
          </w:p>
        </w:tc>
        <w:tc>
          <w:tcPr>
            <w:tcW w:w="1095" w:type="dxa"/>
            <w:vAlign w:val="bottom"/>
          </w:tcPr>
          <w:p w14:paraId="682C3E34" w14:textId="5A13CD42"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0.00805</w:t>
            </w:r>
          </w:p>
        </w:tc>
        <w:tc>
          <w:tcPr>
            <w:tcW w:w="1800" w:type="dxa"/>
            <w:vAlign w:val="bottom"/>
          </w:tcPr>
          <w:p w14:paraId="045B2FD4" w14:textId="44B64ECB"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0.464</w:t>
            </w:r>
          </w:p>
        </w:tc>
        <w:tc>
          <w:tcPr>
            <w:tcW w:w="1710" w:type="dxa"/>
            <w:vAlign w:val="bottom"/>
          </w:tcPr>
          <w:p w14:paraId="394690D0" w14:textId="20F99837"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7.24</w:t>
            </w:r>
          </w:p>
        </w:tc>
      </w:tr>
      <w:tr w:rsidR="006C4151" w:rsidRPr="0062499C" w14:paraId="7030B88F" w14:textId="77777777" w:rsidTr="006C4151">
        <w:tc>
          <w:tcPr>
            <w:tcW w:w="1870" w:type="dxa"/>
          </w:tcPr>
          <w:p w14:paraId="5C8CA375" w14:textId="57635E34" w:rsidR="006C4151" w:rsidRPr="0062499C" w:rsidRDefault="006C4151" w:rsidP="006C4151">
            <w:pPr>
              <w:rPr>
                <w:rFonts w:ascii="Times New Roman" w:hAnsi="Times New Roman" w:cs="Times New Roman"/>
              </w:rPr>
            </w:pPr>
            <w:r w:rsidRPr="0062499C">
              <w:rPr>
                <w:rFonts w:ascii="Times New Roman" w:hAnsi="Times New Roman" w:cs="Times New Roman"/>
              </w:rPr>
              <w:t>100</w:t>
            </w:r>
          </w:p>
        </w:tc>
        <w:tc>
          <w:tcPr>
            <w:tcW w:w="1095" w:type="dxa"/>
            <w:vAlign w:val="bottom"/>
          </w:tcPr>
          <w:p w14:paraId="1A679DC5" w14:textId="225140FC"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0.00736</w:t>
            </w:r>
          </w:p>
        </w:tc>
        <w:tc>
          <w:tcPr>
            <w:tcW w:w="1800" w:type="dxa"/>
            <w:vAlign w:val="bottom"/>
          </w:tcPr>
          <w:p w14:paraId="141C4604" w14:textId="2236D692"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0.47</w:t>
            </w:r>
          </w:p>
        </w:tc>
        <w:tc>
          <w:tcPr>
            <w:tcW w:w="1710" w:type="dxa"/>
            <w:vAlign w:val="bottom"/>
          </w:tcPr>
          <w:p w14:paraId="1BB6CAD1" w14:textId="2CD25C68"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7.6</w:t>
            </w:r>
          </w:p>
        </w:tc>
      </w:tr>
      <w:tr w:rsidR="006C4151" w:rsidRPr="0062499C" w14:paraId="055B713F" w14:textId="77777777" w:rsidTr="008C333D">
        <w:trPr>
          <w:trHeight w:val="458"/>
        </w:trPr>
        <w:tc>
          <w:tcPr>
            <w:tcW w:w="1870" w:type="dxa"/>
          </w:tcPr>
          <w:p w14:paraId="18253D3D" w14:textId="79D28E6D" w:rsidR="006C4151" w:rsidRPr="0062499C" w:rsidRDefault="006C4151" w:rsidP="006C4151">
            <w:pPr>
              <w:rPr>
                <w:rFonts w:ascii="Times New Roman" w:hAnsi="Times New Roman" w:cs="Times New Roman"/>
              </w:rPr>
            </w:pPr>
            <w:r w:rsidRPr="0062499C">
              <w:rPr>
                <w:rFonts w:ascii="Times New Roman" w:hAnsi="Times New Roman" w:cs="Times New Roman"/>
              </w:rPr>
              <w:t>200</w:t>
            </w:r>
          </w:p>
        </w:tc>
        <w:tc>
          <w:tcPr>
            <w:tcW w:w="1095" w:type="dxa"/>
            <w:vAlign w:val="bottom"/>
          </w:tcPr>
          <w:p w14:paraId="67AB073A" w14:textId="25D26C4F" w:rsidR="006C4151" w:rsidRPr="0062499C" w:rsidRDefault="008C333D" w:rsidP="006C4151">
            <w:pPr>
              <w:rPr>
                <w:rFonts w:ascii="Times New Roman" w:hAnsi="Times New Roman" w:cs="Times New Roman"/>
                <w:lang w:val="vi-VN"/>
              </w:rPr>
            </w:pPr>
            <w:r w:rsidRPr="0062499C">
              <w:rPr>
                <w:rFonts w:ascii="Times New Roman" w:hAnsi="Times New Roman" w:cs="Times New Roman"/>
                <w:lang w:val="vi-VN"/>
              </w:rPr>
              <w:t>NA</w:t>
            </w:r>
          </w:p>
        </w:tc>
        <w:tc>
          <w:tcPr>
            <w:tcW w:w="1800" w:type="dxa"/>
            <w:vAlign w:val="bottom"/>
          </w:tcPr>
          <w:p w14:paraId="27413382" w14:textId="1D2FD28E"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0.499</w:t>
            </w:r>
          </w:p>
        </w:tc>
        <w:tc>
          <w:tcPr>
            <w:tcW w:w="1710" w:type="dxa"/>
            <w:vAlign w:val="bottom"/>
          </w:tcPr>
          <w:p w14:paraId="0B61CA3C" w14:textId="4EAD6415"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7.57</w:t>
            </w:r>
          </w:p>
        </w:tc>
      </w:tr>
      <w:tr w:rsidR="006C4151" w:rsidRPr="0062499C" w14:paraId="12CFDF3C" w14:textId="77777777" w:rsidTr="008C333D">
        <w:trPr>
          <w:trHeight w:val="557"/>
        </w:trPr>
        <w:tc>
          <w:tcPr>
            <w:tcW w:w="1870" w:type="dxa"/>
          </w:tcPr>
          <w:p w14:paraId="20143FAD" w14:textId="5C33EED5" w:rsidR="006C4151" w:rsidRPr="0062499C" w:rsidRDefault="006C4151" w:rsidP="006C4151">
            <w:pPr>
              <w:rPr>
                <w:rFonts w:ascii="Times New Roman" w:hAnsi="Times New Roman" w:cs="Times New Roman"/>
              </w:rPr>
            </w:pPr>
            <w:r w:rsidRPr="0062499C">
              <w:rPr>
                <w:rFonts w:ascii="Times New Roman" w:hAnsi="Times New Roman" w:cs="Times New Roman"/>
              </w:rPr>
              <w:t>basic</w:t>
            </w:r>
          </w:p>
        </w:tc>
        <w:tc>
          <w:tcPr>
            <w:tcW w:w="1095" w:type="dxa"/>
            <w:vAlign w:val="bottom"/>
          </w:tcPr>
          <w:p w14:paraId="43DB95C1" w14:textId="6CE552F1"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0.00632</w:t>
            </w:r>
          </w:p>
        </w:tc>
        <w:tc>
          <w:tcPr>
            <w:tcW w:w="1800" w:type="dxa"/>
            <w:vAlign w:val="bottom"/>
          </w:tcPr>
          <w:p w14:paraId="5A0CF902" w14:textId="34ABD52C"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0.51</w:t>
            </w:r>
          </w:p>
        </w:tc>
        <w:tc>
          <w:tcPr>
            <w:tcW w:w="1710" w:type="dxa"/>
            <w:vAlign w:val="bottom"/>
          </w:tcPr>
          <w:p w14:paraId="3EB9B125" w14:textId="3F1DC8EF" w:rsidR="006C4151" w:rsidRPr="0062499C" w:rsidRDefault="006C4151" w:rsidP="006C4151">
            <w:pPr>
              <w:rPr>
                <w:rFonts w:ascii="Times New Roman" w:hAnsi="Times New Roman" w:cs="Times New Roman"/>
              </w:rPr>
            </w:pPr>
            <w:r w:rsidRPr="0062499C">
              <w:rPr>
                <w:rFonts w:ascii="Times New Roman" w:hAnsi="Times New Roman" w:cs="Times New Roman"/>
                <w:color w:val="000000"/>
              </w:rPr>
              <w:t>8.33</w:t>
            </w:r>
          </w:p>
        </w:tc>
      </w:tr>
    </w:tbl>
    <w:p w14:paraId="52EF3239" w14:textId="77777777" w:rsidR="006C4151" w:rsidRPr="0062499C" w:rsidRDefault="006C4151">
      <w:pPr>
        <w:rPr>
          <w:rFonts w:ascii="Times New Roman" w:hAnsi="Times New Roman" w:cs="Times New Roman"/>
        </w:rPr>
      </w:pPr>
    </w:p>
    <w:p w14:paraId="38161664" w14:textId="4D8FAAA9" w:rsidR="008C333D" w:rsidRPr="0062499C" w:rsidRDefault="008C333D">
      <w:pPr>
        <w:rPr>
          <w:rFonts w:ascii="Times New Roman" w:hAnsi="Times New Roman" w:cs="Times New Roman"/>
        </w:rPr>
      </w:pPr>
      <w:r w:rsidRPr="0062499C">
        <w:rPr>
          <w:rFonts w:ascii="Times New Roman" w:hAnsi="Times New Roman" w:cs="Times New Roman"/>
          <w:lang w:val="vi-VN"/>
        </w:rPr>
        <w:t xml:space="preserve">I </w:t>
      </w:r>
      <w:r w:rsidRPr="0062499C">
        <w:rPr>
          <w:rFonts w:ascii="Times New Roman" w:hAnsi="Times New Roman" w:cs="Times New Roman"/>
        </w:rPr>
        <w:t>did not record the time for tile size of 200</w:t>
      </w:r>
      <w:r w:rsidR="00A86F65" w:rsidRPr="0062499C">
        <w:rPr>
          <w:rFonts w:ascii="Times New Roman" w:hAnsi="Times New Roman" w:cs="Times New Roman"/>
        </w:rPr>
        <w:t xml:space="preserve"> for input size of 100 because it will just perform like a basic</w:t>
      </w:r>
      <w:r w:rsidR="00AC1C51" w:rsidRPr="0062499C">
        <w:rPr>
          <w:rFonts w:ascii="Times New Roman" w:hAnsi="Times New Roman" w:cs="Times New Roman"/>
        </w:rPr>
        <w:t xml:space="preserve"> implementation.</w:t>
      </w:r>
      <w:r w:rsidR="00AC1C51" w:rsidRPr="0062499C">
        <w:rPr>
          <w:rFonts w:ascii="Times New Roman" w:hAnsi="Times New Roman" w:cs="Times New Roman"/>
          <w:noProof/>
        </w:rPr>
        <w:drawing>
          <wp:inline distT="0" distB="0" distL="0" distR="0" wp14:anchorId="7A56306D" wp14:editId="5DD21408">
            <wp:extent cx="5943600" cy="3340100"/>
            <wp:effectExtent l="0" t="0" r="0" b="0"/>
            <wp:docPr id="661252255" name="Picture 1" descr="A graph with yellow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52255" name="Picture 1" descr="A graph with yellow and grey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AC1C51" w:rsidRPr="0062499C">
        <w:rPr>
          <w:rFonts w:ascii="Times New Roman" w:hAnsi="Times New Roman" w:cs="Times New Roman"/>
          <w:noProof/>
        </w:rPr>
        <w:lastRenderedPageBreak/>
        <w:drawing>
          <wp:inline distT="0" distB="0" distL="0" distR="0" wp14:anchorId="6A79312B" wp14:editId="15AB0B02">
            <wp:extent cx="5943600" cy="3340100"/>
            <wp:effectExtent l="0" t="0" r="0" b="0"/>
            <wp:docPr id="2072063501" name="Picture 2" descr="A graph with yellow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3501" name="Picture 2" descr="A graph with yellow and grey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AC1C51" w:rsidRPr="0062499C">
        <w:rPr>
          <w:rFonts w:ascii="Times New Roman" w:hAnsi="Times New Roman" w:cs="Times New Roman"/>
          <w:noProof/>
        </w:rPr>
        <w:drawing>
          <wp:inline distT="0" distB="0" distL="0" distR="0" wp14:anchorId="62467E4A" wp14:editId="66278876">
            <wp:extent cx="5943600" cy="3340100"/>
            <wp:effectExtent l="0" t="0" r="0" b="0"/>
            <wp:docPr id="1064340663" name="Picture 3" descr="A graph with yellow and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0663" name="Picture 3" descr="A graph with yellow and gray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AC1C51" w:rsidRPr="0062499C">
        <w:rPr>
          <w:rFonts w:ascii="Times New Roman" w:hAnsi="Times New Roman" w:cs="Times New Roman"/>
          <w:noProof/>
        </w:rPr>
        <w:lastRenderedPageBreak/>
        <w:drawing>
          <wp:inline distT="0" distB="0" distL="0" distR="0" wp14:anchorId="1B92F6BB" wp14:editId="63E29F32">
            <wp:extent cx="5943600" cy="2819400"/>
            <wp:effectExtent l="0" t="0" r="0" b="0"/>
            <wp:docPr id="872988027" name="Picture 4" descr="A graph with yellow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88027" name="Picture 4" descr="A graph with yellow and grey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0093" cy="2822480"/>
                    </a:xfrm>
                    <a:prstGeom prst="rect">
                      <a:avLst/>
                    </a:prstGeom>
                  </pic:spPr>
                </pic:pic>
              </a:graphicData>
            </a:graphic>
          </wp:inline>
        </w:drawing>
      </w:r>
    </w:p>
    <w:p w14:paraId="59140C16" w14:textId="77777777" w:rsidR="00AC1C51" w:rsidRPr="0062499C" w:rsidRDefault="00AC1C51">
      <w:pPr>
        <w:rPr>
          <w:rFonts w:ascii="Times New Roman" w:hAnsi="Times New Roman" w:cs="Times New Roman"/>
        </w:rPr>
      </w:pPr>
    </w:p>
    <w:p w14:paraId="079494E2" w14:textId="644DD6F1" w:rsidR="00AC1C51" w:rsidRPr="0062499C" w:rsidRDefault="00AC1C51">
      <w:pPr>
        <w:rPr>
          <w:rFonts w:ascii="Times New Roman" w:hAnsi="Times New Roman" w:cs="Times New Roman"/>
        </w:rPr>
      </w:pPr>
      <w:r w:rsidRPr="0062499C">
        <w:rPr>
          <w:rFonts w:ascii="Times New Roman" w:hAnsi="Times New Roman" w:cs="Times New Roman"/>
        </w:rPr>
        <w:t xml:space="preserve">I recorded the runtime of each multiplication 20 times and take the average, for both profiling and recording runtime. For recording runtime, a timer that starts right before the line to call the function </w:t>
      </w:r>
      <w:proofErr w:type="spellStart"/>
      <w:r w:rsidRPr="0062499C">
        <w:rPr>
          <w:rFonts w:ascii="Times New Roman" w:hAnsi="Times New Roman" w:cs="Times New Roman"/>
        </w:rPr>
        <w:t>matmul_blocking</w:t>
      </w:r>
      <w:proofErr w:type="spellEnd"/>
      <w:r w:rsidRPr="0062499C">
        <w:rPr>
          <w:rFonts w:ascii="Times New Roman" w:hAnsi="Times New Roman" w:cs="Times New Roman"/>
        </w:rPr>
        <w:t>, and ends right after, is used and the time elapsed is printed onto the console.</w:t>
      </w:r>
    </w:p>
    <w:p w14:paraId="237985B1" w14:textId="38941023" w:rsidR="00AC1C51" w:rsidRPr="0062499C" w:rsidRDefault="00AC1C51">
      <w:pPr>
        <w:rPr>
          <w:rFonts w:ascii="Times New Roman" w:hAnsi="Times New Roman" w:cs="Times New Roman"/>
          <w:color w:val="374151"/>
        </w:rPr>
      </w:pPr>
      <w:r w:rsidRPr="0062499C">
        <w:rPr>
          <w:rFonts w:ascii="Times New Roman" w:hAnsi="Times New Roman" w:cs="Times New Roman"/>
          <w:color w:val="374151"/>
        </w:rPr>
        <w:t>tiling or blocking optimizations in matrix multiplication are designed to maximize the use of fast cache memory and minimize data movement between main memory and CPU</w:t>
      </w:r>
      <w:r w:rsidRPr="0062499C">
        <w:rPr>
          <w:rFonts w:ascii="Times New Roman" w:hAnsi="Times New Roman" w:cs="Times New Roman"/>
          <w:color w:val="374151"/>
        </w:rPr>
        <w:t xml:space="preserve">. </w:t>
      </w:r>
      <w:r w:rsidRPr="0062499C">
        <w:rPr>
          <w:rFonts w:ascii="Times New Roman" w:hAnsi="Times New Roman" w:cs="Times New Roman"/>
          <w:color w:val="374151"/>
        </w:rPr>
        <w:t>Accessing data from L1 cache is the fastest, while accessing data from the main memory or secondary storage is much slower. The idea behind tiling or blocking is to take advantage of this memory hierarchy, specifically the faster cache levels.</w:t>
      </w:r>
      <w:r w:rsidRPr="0062499C">
        <w:rPr>
          <w:rFonts w:ascii="Times New Roman" w:hAnsi="Times New Roman" w:cs="Times New Roman"/>
          <w:color w:val="374151"/>
        </w:rPr>
        <w:t xml:space="preserve"> Tiling/blocking takes advantage of spatial locality and temporal locality: when the function calls for data, it fetches an entire block of data required for the calculation at once, as opposed to the basic implementation</w:t>
      </w:r>
      <w:r w:rsidR="0062499C" w:rsidRPr="0062499C">
        <w:rPr>
          <w:rFonts w:ascii="Times New Roman" w:hAnsi="Times New Roman" w:cs="Times New Roman"/>
          <w:color w:val="374151"/>
        </w:rPr>
        <w:t>.</w:t>
      </w:r>
    </w:p>
    <w:p w14:paraId="4AF0F14B" w14:textId="77777777" w:rsidR="0062499C" w:rsidRPr="0062499C" w:rsidRDefault="0062499C">
      <w:pPr>
        <w:rPr>
          <w:rFonts w:ascii="Times New Roman" w:hAnsi="Times New Roman" w:cs="Times New Roman"/>
          <w:color w:val="374151"/>
        </w:rPr>
      </w:pPr>
    </w:p>
    <w:p w14:paraId="7029774A" w14:textId="19367AC4" w:rsidR="0062499C" w:rsidRPr="0062499C" w:rsidRDefault="0062499C">
      <w:pPr>
        <w:rPr>
          <w:rFonts w:ascii="Times New Roman" w:hAnsi="Times New Roman" w:cs="Times New Roman"/>
          <w:color w:val="374151"/>
        </w:rPr>
      </w:pPr>
      <w:r w:rsidRPr="0062499C">
        <w:rPr>
          <w:rFonts w:ascii="Times New Roman" w:hAnsi="Times New Roman" w:cs="Times New Roman"/>
          <w:color w:val="374151"/>
        </w:rPr>
        <w:t>Front end (FE) bound differences:</w:t>
      </w:r>
    </w:p>
    <w:p w14:paraId="101ADD3C" w14:textId="2DD39154" w:rsidR="0062499C" w:rsidRPr="0062499C" w:rsidRDefault="0062499C">
      <w:pPr>
        <w:rPr>
          <w:rFonts w:ascii="Times New Roman" w:hAnsi="Times New Roman" w:cs="Times New Roman"/>
          <w:color w:val="374151"/>
        </w:rPr>
      </w:pPr>
      <w:r w:rsidRPr="0062499C">
        <w:rPr>
          <w:rFonts w:ascii="Times New Roman" w:hAnsi="Times New Roman" w:cs="Times New Roman"/>
          <w:color w:val="374151"/>
        </w:rPr>
        <w:t>The non-tiled version might spend more time fetching instructions due to frequent cache misses, resulting in a higher FE metric.</w:t>
      </w:r>
      <w:r w:rsidRPr="0062499C">
        <w:rPr>
          <w:rFonts w:ascii="Times New Roman" w:hAnsi="Times New Roman" w:cs="Times New Roman"/>
          <w:color w:val="374151"/>
        </w:rPr>
        <w:t xml:space="preserve"> </w:t>
      </w:r>
      <w:r w:rsidRPr="0062499C">
        <w:rPr>
          <w:rFonts w:ascii="Times New Roman" w:hAnsi="Times New Roman" w:cs="Times New Roman"/>
          <w:color w:val="374151"/>
        </w:rPr>
        <w:t>The tiled version, due to improved cache locality, might see a reduced FE metric.</w:t>
      </w:r>
    </w:p>
    <w:p w14:paraId="4437DEC2" w14:textId="3FE51577" w:rsidR="0062499C" w:rsidRPr="0062499C" w:rsidRDefault="0062499C">
      <w:pPr>
        <w:rPr>
          <w:rFonts w:ascii="Times New Roman" w:hAnsi="Times New Roman" w:cs="Times New Roman"/>
          <w:color w:val="374151"/>
        </w:rPr>
      </w:pPr>
      <w:r w:rsidRPr="0062499C">
        <w:rPr>
          <w:rFonts w:ascii="Times New Roman" w:hAnsi="Times New Roman" w:cs="Times New Roman"/>
          <w:color w:val="374151"/>
        </w:rPr>
        <w:t>Backend (BE) bound differences:</w:t>
      </w:r>
    </w:p>
    <w:p w14:paraId="7A3FCC31" w14:textId="7D50AB3B" w:rsidR="0062499C" w:rsidRPr="0062499C" w:rsidRDefault="0062499C">
      <w:pPr>
        <w:rPr>
          <w:rFonts w:ascii="Times New Roman" w:hAnsi="Times New Roman" w:cs="Times New Roman"/>
          <w:color w:val="374151"/>
        </w:rPr>
      </w:pPr>
      <w:r w:rsidRPr="0062499C">
        <w:rPr>
          <w:rFonts w:ascii="Times New Roman" w:hAnsi="Times New Roman" w:cs="Times New Roman"/>
          <w:color w:val="374151"/>
        </w:rPr>
        <w:t xml:space="preserve">The non-tiled version </w:t>
      </w:r>
      <w:r w:rsidRPr="0062499C">
        <w:rPr>
          <w:rFonts w:ascii="Times New Roman" w:hAnsi="Times New Roman" w:cs="Times New Roman"/>
          <w:color w:val="374151"/>
        </w:rPr>
        <w:t>showed to be</w:t>
      </w:r>
      <w:r w:rsidRPr="0062499C">
        <w:rPr>
          <w:rFonts w:ascii="Times New Roman" w:hAnsi="Times New Roman" w:cs="Times New Roman"/>
          <w:color w:val="374151"/>
        </w:rPr>
        <w:t xml:space="preserve"> more memory-bound due to frequent cache misses and increased accesses to main memory. Thus, a higher BE metric could be observed.</w:t>
      </w:r>
    </w:p>
    <w:p w14:paraId="56306A39" w14:textId="3C4157BC" w:rsidR="0062499C" w:rsidRPr="0062499C" w:rsidRDefault="0062499C">
      <w:pPr>
        <w:rPr>
          <w:rFonts w:ascii="Times New Roman" w:hAnsi="Times New Roman" w:cs="Times New Roman"/>
          <w:color w:val="374151"/>
        </w:rPr>
      </w:pPr>
      <w:r w:rsidRPr="0062499C">
        <w:rPr>
          <w:rFonts w:ascii="Times New Roman" w:hAnsi="Times New Roman" w:cs="Times New Roman"/>
          <w:color w:val="374151"/>
        </w:rPr>
        <w:t>Retiring:</w:t>
      </w:r>
    </w:p>
    <w:p w14:paraId="02B0CC8F" w14:textId="372D9471" w:rsidR="0062499C" w:rsidRPr="0062499C" w:rsidRDefault="0062499C">
      <w:pPr>
        <w:rPr>
          <w:rFonts w:ascii="Times New Roman" w:hAnsi="Times New Roman" w:cs="Times New Roman"/>
          <w:color w:val="374151"/>
        </w:rPr>
      </w:pPr>
      <w:r w:rsidRPr="0062499C">
        <w:rPr>
          <w:rFonts w:ascii="Times New Roman" w:hAnsi="Times New Roman" w:cs="Times New Roman"/>
          <w:color w:val="374151"/>
        </w:rPr>
        <w:t>The tiled version might have a higher retiring percentage because more instructions successfully complete their operation without being stalled by other bottlenecks.</w:t>
      </w:r>
    </w:p>
    <w:p w14:paraId="36548B3E" w14:textId="77777777" w:rsidR="0062499C" w:rsidRPr="0062499C" w:rsidRDefault="0062499C">
      <w:pPr>
        <w:rPr>
          <w:rFonts w:ascii="Times New Roman" w:hAnsi="Times New Roman" w:cs="Times New Roman"/>
          <w:color w:val="374151"/>
        </w:rPr>
      </w:pPr>
    </w:p>
    <w:p w14:paraId="02FC9E48" w14:textId="5009A369" w:rsidR="0062499C" w:rsidRPr="0062499C" w:rsidRDefault="0062499C">
      <w:pPr>
        <w:rPr>
          <w:rFonts w:ascii="Times New Roman" w:hAnsi="Times New Roman" w:cs="Times New Roman"/>
        </w:rPr>
      </w:pPr>
      <w:r w:rsidRPr="0062499C">
        <w:rPr>
          <w:rFonts w:ascii="Times New Roman" w:hAnsi="Times New Roman" w:cs="Times New Roman"/>
          <w:color w:val="374151"/>
        </w:rPr>
        <w:t>With large enough an input size, the runtime differences between the tiled and non-tile version become more pronounced. More experiments need to be done however to find out the ideal tile size for each input size. This is because the program does not have to access memories all the time and could fetch data in chunks.</w:t>
      </w:r>
    </w:p>
    <w:sectPr w:rsidR="0062499C" w:rsidRPr="0062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6405"/>
    <w:multiLevelType w:val="multilevel"/>
    <w:tmpl w:val="C29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74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51"/>
    <w:rsid w:val="0062499C"/>
    <w:rsid w:val="006C4151"/>
    <w:rsid w:val="008C333D"/>
    <w:rsid w:val="00A86F65"/>
    <w:rsid w:val="00AC1C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3B3"/>
  <w15:chartTrackingRefBased/>
  <w15:docId w15:val="{87D23747-D46E-634D-B001-BD8A565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Minh</dc:creator>
  <cp:keywords/>
  <dc:description/>
  <cp:lastModifiedBy>Nguyen Dang Minh</cp:lastModifiedBy>
  <cp:revision>1</cp:revision>
  <dcterms:created xsi:type="dcterms:W3CDTF">2023-10-10T20:46:00Z</dcterms:created>
  <dcterms:modified xsi:type="dcterms:W3CDTF">2023-10-11T08:58:00Z</dcterms:modified>
</cp:coreProperties>
</file>