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t xml:space="preserve"/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4057"/>
          <w:sz w:val="44"/>
          <w:szCs w:val="44"/>
        </w:rPr>
        <w:t xml:space="preserve">vCenter Tagging Specification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For: VMware / vSphere Administration Team</w:t>
      </w:r>
    </w:p>
    <w:p>
      <w:pPr>
        <w:spacing w:after="220"/>
        <w:jc w:val="center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Greenfield build — no tags currently exist  ·  v4.0</w:t>
      </w:r>
    </w:p>
    <w:p>
      <w:pPr>
        <w:pBdr>
          <w:bottom w:val="single" w:color="2E4057" w:sz="6"/>
        </w:pBdr>
        <w:spacing w:after="100"/>
      </w:pPr>
      <w:r>
        <w:t xml:space="preserve"/>
      </w:r>
    </w:p>
    <w:p>
      <w:pPr>
        <w:pStyle w:val="Heading1"/>
        <w:spacing w:after="100" w:before="22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1.  Scope</w:t>
      </w:r>
    </w:p>
    <w:p>
      <w:pPr>
        <w:spacing w:after="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Tags let Ansible resolve VM deployment targets from four SNOW form values (ORG, LOCATION, ENVIRONMENT, OS) without hardcoding vCenter names.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1400"/>
        <w:gridCol w:w="5960"/>
      </w:tblGrid>
      <w:tr>
        <w:trPr>
          <w:tblHeader/>
        </w:trPr>
        <w:tc>
          <w:tcPr>
            <w:shd w:fill="1A6B8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Object</w:t>
            </w:r>
          </w:p>
        </w:tc>
        <w:tc>
          <w:tcPr>
            <w:shd w:fill="1A6B8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 scope</w:t>
            </w:r>
          </w:p>
        </w:tc>
        <w:tc>
          <w:tcPr>
            <w:shd w:fill="1A6B8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Reason</w:t>
            </w:r>
          </w:p>
        </w:tc>
      </w:tr>
      <w:tr>
        <w:tc>
          <w:tcPr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Datacenter</w:t>
            </w:r>
          </w:p>
        </w:tc>
        <w:tc>
          <w:tcPr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Yes</w:t>
            </w:r>
          </w:p>
        </w:tc>
        <w:tc>
          <w:tcPr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Tag the datacenter</w:t>
            </w:r>
          </w:p>
        </w:tc>
      </w:tr>
      <w:tr>
        <w:tc>
          <w:tcPr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Cluster</w:t>
            </w:r>
          </w:p>
        </w:tc>
        <w:tc>
          <w:tcPr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Yes</w:t>
            </w:r>
          </w:p>
        </w:tc>
        <w:tc>
          <w:tcPr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Tag the cluster</w:t>
            </w:r>
          </w:p>
        </w:tc>
      </w:tr>
      <w:tr>
        <w:tc>
          <w:tcPr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Datastore cluster (-DSC)</w:t>
            </w:r>
          </w:p>
        </w:tc>
        <w:tc>
          <w:tcPr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Indirect</w:t>
            </w:r>
          </w:p>
        </w:tc>
        <w:tc>
          <w:tcPr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Tag its member datastores — see §4.3</w:t>
            </w:r>
          </w:p>
        </w:tc>
      </w:tr>
      <w:tr>
        <w:tc>
          <w:tcPr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Folder</w:t>
            </w:r>
          </w:p>
        </w:tc>
        <w:tc>
          <w:tcPr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Ansible cannot read folder tags — see §7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30"/>
        <w:ind w:left="280"/>
      </w:pPr>
      <w:r>
        <w:rPr>
          <w:rFonts w:ascii="Arial" w:cs="Arial" w:eastAsia="Arial" w:hAnsi="Arial"/>
          <w:b/>
          <w:bCs/>
          <w:color w:val="B45309"/>
          <w:sz w:val="17"/>
          <w:szCs w:val="17"/>
        </w:rPr>
        <w:t xml:space="preserve">ACTION:  </w:t>
      </w:r>
      <w:r>
        <w:rPr>
          <w:rFonts w:ascii="Arial" w:cs="Arial" w:eastAsia="Arial" w:hAnsi="Arial"/>
          <w:color w:val="B45309"/>
          <w:sz w:val="17"/>
          <w:szCs w:val="17"/>
        </w:rPr>
        <w:t xml:space="preserve">ENVIRONMENT is not used by any in-scope object. No environment tags are required.</w:t>
      </w:r>
    </w:p>
    <w:p>
      <w:pPr>
        <w:pBdr>
          <w:bottom w:val="single" w:color="2E4057" w:sz="6"/>
        </w:pBdr>
        <w:spacing w:after="100"/>
      </w:pPr>
      <w:r>
        <w:t xml:space="preserve"/>
      </w:r>
    </w:p>
    <w:p>
      <w:pPr>
        <w:pStyle w:val="Heading1"/>
        <w:spacing w:after="100" w:before="22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2.  Categories to Create</w:t>
      </w:r>
    </w:p>
    <w:p>
      <w:pPr>
        <w:spacing w:after="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Seven categories. Restrict each to a single associable object type.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1800"/>
        <w:gridCol w:w="4960"/>
      </w:tblGrid>
      <w:tr>
        <w:trPr>
          <w:tblHeader/>
        </w:trPr>
        <w:tc>
          <w:tcPr>
            <w:shd w:fill="1A6B8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Category</w:t>
            </w:r>
          </w:p>
        </w:tc>
        <w:tc>
          <w:tcPr>
            <w:shd w:fill="1A6B8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Cardinality</w:t>
            </w:r>
          </w:p>
        </w:tc>
        <w:tc>
          <w:tcPr>
            <w:shd w:fill="1A6B8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Associable Object Type</w:t>
            </w:r>
          </w:p>
        </w:tc>
      </w:tr>
      <w:tr>
        <w:tc>
          <w:tcPr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Datacenter_Org</w:t>
            </w:r>
          </w:p>
        </w:tc>
        <w:tc>
          <w:tcPr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Single</w:t>
            </w:r>
          </w:p>
        </w:tc>
        <w:tc>
          <w:tcPr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Datacenter</w:t>
            </w:r>
          </w:p>
        </w:tc>
      </w:tr>
      <w:tr>
        <w:tc>
          <w:tcPr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Datacenter_Location</w:t>
            </w:r>
          </w:p>
        </w:tc>
        <w:tc>
          <w:tcPr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Multiple</w:t>
            </w:r>
          </w:p>
        </w:tc>
        <w:tc>
          <w:tcPr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Datacenter</w:t>
            </w:r>
          </w:p>
        </w:tc>
      </w:tr>
      <w:tr>
        <w:tc>
          <w:tcPr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Cluster_Org</w:t>
            </w:r>
          </w:p>
        </w:tc>
        <w:tc>
          <w:tcPr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Single</w:t>
            </w:r>
          </w:p>
        </w:tc>
        <w:tc>
          <w:tcPr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Cluster Compute Resource</w:t>
            </w:r>
          </w:p>
        </w:tc>
      </w:tr>
      <w:tr>
        <w:tc>
          <w:tcPr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Cluster_Location</w:t>
            </w:r>
          </w:p>
        </w:tc>
        <w:tc>
          <w:tcPr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Multiple</w:t>
            </w:r>
          </w:p>
        </w:tc>
        <w:tc>
          <w:tcPr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Cluster Compute Resource</w:t>
            </w:r>
          </w:p>
        </w:tc>
      </w:tr>
      <w:tr>
        <w:tc>
          <w:tcPr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Datastore_Org</w:t>
            </w:r>
          </w:p>
        </w:tc>
        <w:tc>
          <w:tcPr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Single</w:t>
            </w:r>
          </w:p>
        </w:tc>
        <w:tc>
          <w:tcPr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Datastore</w:t>
            </w:r>
          </w:p>
        </w:tc>
      </w:tr>
      <w:tr>
        <w:tc>
          <w:tcPr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Datastore_Location</w:t>
            </w:r>
          </w:p>
        </w:tc>
        <w:tc>
          <w:tcPr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Multiple</w:t>
            </w:r>
          </w:p>
        </w:tc>
        <w:tc>
          <w:tcPr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Datastore</w:t>
            </w:r>
          </w:p>
        </w:tc>
      </w:tr>
      <w:tr>
        <w:tc>
          <w:tcPr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Datastore_OS</w:t>
            </w:r>
          </w:p>
        </w:tc>
        <w:tc>
          <w:tcPr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Multiple</w:t>
            </w:r>
          </w:p>
        </w:tc>
        <w:tc>
          <w:tcPr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Datastore</w:t>
            </w:r>
          </w:p>
        </w:tc>
      </w:tr>
    </w:tbl>
    <w:p>
      <w:pPr>
        <w:spacing w:after="110"/>
      </w:pPr>
      <w:r>
        <w:t xml:space="preserve"/>
      </w:r>
    </w:p>
    <w:p>
      <w:pPr>
        <w:spacing w:after="9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9"/>
          <w:szCs w:val="19"/>
        </w:rPr>
        <w:t xml:space="preserve">Multiple cardinality is required only on Location and OS categories, because a fallback object carries its real tag and the Default tag at the same time.</w:t>
      </w:r>
    </w:p>
    <w:p>
      <w:pPr>
        <w:pBdr>
          <w:bottom w:val="single" w:color="2E4057" w:sz="6"/>
        </w:pBdr>
        <w:spacing w:after="100"/>
      </w:pPr>
      <w:r>
        <w:t xml:space="preserve"/>
      </w:r>
    </w:p>
    <w:p>
      <w:pPr>
        <w:pStyle w:val="Heading1"/>
        <w:spacing w:after="100" w:before="22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3.  Tags to Create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6760"/>
      </w:tblGrid>
      <w:tr>
        <w:trPr>
          <w:tblHeader/>
        </w:trPr>
        <w:tc>
          <w:tcPr>
            <w:shd w:fill="1A6B8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Category</w:t>
            </w:r>
          </w:p>
        </w:tc>
        <w:tc>
          <w:tcPr>
            <w:shd w:fill="1A6B8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Tags</w:t>
            </w:r>
          </w:p>
        </w:tc>
      </w:tr>
      <w:tr>
        <w:tc>
          <w:tcPr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Datacenter_Org</w:t>
            </w:r>
          </w:p>
        </w:tc>
        <w:tc>
          <w:tcPr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Datacenter_Org_{CS, NMS, EMS, GMS, ADMS, SYNC, AMAG}</w:t>
            </w:r>
          </w:p>
        </w:tc>
      </w:tr>
      <w:tr>
        <w:tc>
          <w:tcPr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Datacenter_Location</w:t>
            </w:r>
          </w:p>
        </w:tc>
        <w:tc>
          <w:tcPr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Datacenter_Location_{INB, RIC, MGB, MGA, Default}</w:t>
            </w:r>
          </w:p>
        </w:tc>
      </w:tr>
      <w:tr>
        <w:tc>
          <w:tcPr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Cluster_Org</w:t>
            </w:r>
          </w:p>
        </w:tc>
        <w:tc>
          <w:tcPr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Cluster_Org_{CS, NMS, EMS, GMS, ADMS, SYNC, AMAG}</w:t>
            </w:r>
          </w:p>
        </w:tc>
      </w:tr>
      <w:tr>
        <w:tc>
          <w:tcPr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Cluster_Location</w:t>
            </w:r>
          </w:p>
        </w:tc>
        <w:tc>
          <w:tcPr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Cluster_Location_{INB, RIC, MGB, MGA, Default}</w:t>
            </w:r>
          </w:p>
        </w:tc>
      </w:tr>
      <w:tr>
        <w:tc>
          <w:tcPr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Datastore_Org</w:t>
            </w:r>
          </w:p>
        </w:tc>
        <w:tc>
          <w:tcPr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Datastore_Org_{CS, NMS, EMS, GMS, ADMS, SYNC, AMAG}</w:t>
            </w:r>
          </w:p>
        </w:tc>
      </w:tr>
      <w:tr>
        <w:tc>
          <w:tcPr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Datastore_Location</w:t>
            </w:r>
          </w:p>
        </w:tc>
        <w:tc>
          <w:tcPr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Datastore_Location_{INB, RIC, MGB, MGA, Default}</w:t>
            </w:r>
          </w:p>
        </w:tc>
      </w:tr>
      <w:tr>
        <w:tc>
          <w:tcPr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Datastore_OS</w:t>
            </w:r>
          </w:p>
        </w:tc>
        <w:tc>
          <w:tcPr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Datastore_OS_{Linux, Windows, Default}</w:t>
            </w:r>
          </w:p>
        </w:tc>
      </w:tr>
    </w:tbl>
    <w:p>
      <w:pPr>
        <w:spacing w:after="110"/>
      </w:pPr>
      <w:r>
        <w:t xml:space="preserve"/>
      </w:r>
    </w:p>
    <w:p>
      <w:pPr>
        <w:spacing w:after="90"/>
      </w:pPr>
      <w:r>
        <w:rPr>
          <w:rFonts w:ascii="Arial" w:cs="Arial" w:eastAsia="Arial" w:hAnsi="Arial"/>
          <w:b/>
          <w:bCs/>
          <w:i w:val="false"/>
          <w:iCs w:val="false"/>
          <w:color w:val="1A6B8A"/>
          <w:sz w:val="19"/>
          <w:szCs w:val="19"/>
        </w:rPr>
        <w:t xml:space="preserve">Total: 7 categories, 41 tags.</w:t>
      </w:r>
    </w:p>
    <w:p>
      <w:pPr>
        <w:spacing w:after="60"/>
      </w:pPr>
      <w:r>
        <w:t xml:space="preserve"/>
      </w:r>
    </w:p>
    <w:p>
      <w:pPr>
        <w:spacing w:after="130"/>
        <w:ind w:left="280"/>
      </w:pPr>
      <w:r>
        <w:rPr>
          <w:rFonts w:ascii="Arial" w:cs="Arial" w:eastAsia="Arial" w:hAnsi="Arial"/>
          <w:b/>
          <w:bCs/>
          <w:color w:val="C0392B"/>
          <w:sz w:val="17"/>
          <w:szCs w:val="17"/>
        </w:rPr>
        <w:t xml:space="preserve">RULE:  </w:t>
      </w:r>
      <w:r>
        <w:rPr>
          <w:rFonts w:ascii="Arial" w:cs="Arial" w:eastAsia="Arial" w:hAnsi="Arial"/>
          <w:color w:val="C0392B"/>
          <w:sz w:val="17"/>
          <w:szCs w:val="17"/>
        </w:rPr>
        <w:t xml:space="preserve">Tag names are case-sensitive and must match exactly, including the underscore separators and the capitalisation shown above.</w:t>
      </w:r>
    </w:p>
    <w:p>
      <w:r>
        <w:br w:type="page"/>
      </w:r>
    </w:p>
    <w:p>
      <w:pPr>
        <w:pStyle w:val="Heading1"/>
        <w:spacing w:after="100" w:before="22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4.  Tags to Apply per Object</w:t>
      </w:r>
    </w:p>
    <w:p>
      <w:pPr>
        <w:pStyle w:val="Heading2"/>
        <w:spacing w:after="70" w:before="160"/>
      </w:pPr>
      <w:r>
        <w:rPr>
          <w:rFonts w:ascii="Arial" w:cs="Arial" w:eastAsia="Arial" w:hAnsi="Arial"/>
          <w:b/>
          <w:bCs/>
          <w:color w:val="1A6B8A"/>
          <w:sz w:val="21"/>
          <w:szCs w:val="21"/>
        </w:rPr>
        <w:t xml:space="preserve">4.1  Datacenters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3200"/>
        <w:gridCol w:w="3560"/>
      </w:tblGrid>
      <w:tr>
        <w:trPr>
          <w:tblHeader/>
        </w:trPr>
        <w:tc>
          <w:tcPr>
            <w:shd w:fill="1A6B8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Datacenter</w:t>
            </w:r>
          </w:p>
        </w:tc>
        <w:tc>
          <w:tcPr>
            <w:shd w:fill="1A6B8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Datacenter_Org</w:t>
            </w:r>
          </w:p>
        </w:tc>
        <w:tc>
          <w:tcPr>
            <w:shd w:fill="1A6B8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Datacenter_Location</w:t>
            </w:r>
          </w:p>
        </w:tc>
      </w:tr>
      <w:tr>
        <w:tc>
          <w:tcPr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CS-INB</w:t>
            </w:r>
          </w:p>
        </w:tc>
        <w:tc>
          <w:tcPr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Datacenter_Org_CS</w:t>
            </w:r>
          </w:p>
        </w:tc>
        <w:tc>
          <w:tcPr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Datacenter_Location_INB</w:t>
            </w:r>
          </w:p>
        </w:tc>
      </w:tr>
      <w:tr>
        <w:tc>
          <w:tcPr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CS-RIC</w:t>
            </w:r>
          </w:p>
        </w:tc>
        <w:tc>
          <w:tcPr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Datacenter_Org_CS</w:t>
            </w:r>
          </w:p>
        </w:tc>
        <w:tc>
          <w:tcPr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Datacenter_Location_RIC</w:t>
            </w:r>
          </w:p>
        </w:tc>
      </w:tr>
      <w:tr>
        <w:tc>
          <w:tcPr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CS-MGB</w:t>
            </w:r>
          </w:p>
        </w:tc>
        <w:tc>
          <w:tcPr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Datacenter_Org_CS</w:t>
            </w:r>
          </w:p>
        </w:tc>
        <w:tc>
          <w:tcPr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Datacenter_Location_MGB</w:t>
            </w:r>
          </w:p>
        </w:tc>
      </w:tr>
      <w:tr>
        <w:tc>
          <w:tcPr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… every datacenter</w:t>
            </w:r>
          </w:p>
        </w:tc>
        <w:tc>
          <w:tcPr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one Org tag</w:t>
            </w:r>
          </w:p>
        </w:tc>
        <w:tc>
          <w:tcPr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one Location tag</w:t>
            </w:r>
          </w:p>
        </w:tc>
      </w:tr>
    </w:tbl>
    <w:p>
      <w:pPr>
        <w:spacing w:after="110"/>
      </w:pPr>
      <w:r>
        <w:t xml:space="preserve"/>
      </w:r>
    </w:p>
    <w:p>
      <w:pPr>
        <w:pStyle w:val="Heading2"/>
        <w:spacing w:after="70" w:before="160"/>
      </w:pPr>
      <w:r>
        <w:rPr>
          <w:rFonts w:ascii="Arial" w:cs="Arial" w:eastAsia="Arial" w:hAnsi="Arial"/>
          <w:b/>
          <w:bCs/>
          <w:color w:val="1A6B8A"/>
          <w:sz w:val="21"/>
          <w:szCs w:val="21"/>
        </w:rPr>
        <w:t xml:space="preserve">4.2  Clusters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3200"/>
        <w:gridCol w:w="3560"/>
      </w:tblGrid>
      <w:tr>
        <w:trPr>
          <w:tblHeader/>
        </w:trPr>
        <w:tc>
          <w:tcPr>
            <w:shd w:fill="1A6B8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Cluster</w:t>
            </w:r>
          </w:p>
        </w:tc>
        <w:tc>
          <w:tcPr>
            <w:shd w:fill="1A6B8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Cluster_Org</w:t>
            </w:r>
          </w:p>
        </w:tc>
        <w:tc>
          <w:tcPr>
            <w:shd w:fill="1A6B8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Cluster_Location</w:t>
            </w:r>
          </w:p>
        </w:tc>
      </w:tr>
      <w:tr>
        <w:tc>
          <w:tcPr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CS-INB</w:t>
            </w:r>
          </w:p>
        </w:tc>
        <w:tc>
          <w:tcPr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Cluster_Org_CS</w:t>
            </w:r>
          </w:p>
        </w:tc>
        <w:tc>
          <w:tcPr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Cluster_Location_INB</w:t>
            </w:r>
          </w:p>
        </w:tc>
      </w:tr>
      <w:tr>
        <w:tc>
          <w:tcPr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CS-RIC</w:t>
            </w:r>
          </w:p>
        </w:tc>
        <w:tc>
          <w:tcPr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Cluster_Org_CS</w:t>
            </w:r>
          </w:p>
        </w:tc>
        <w:tc>
          <w:tcPr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Cluster_Location_RIC</w:t>
            </w:r>
          </w:p>
        </w:tc>
      </w:tr>
      <w:tr>
        <w:tc>
          <w:tcPr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… every cluster</w:t>
            </w:r>
          </w:p>
        </w:tc>
        <w:tc>
          <w:tcPr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one Org tag</w:t>
            </w:r>
          </w:p>
        </w:tc>
        <w:tc>
          <w:tcPr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one Location tag</w:t>
            </w:r>
          </w:p>
        </w:tc>
      </w:tr>
    </w:tbl>
    <w:p>
      <w:pPr>
        <w:spacing w:after="110"/>
      </w:pPr>
      <w:r>
        <w:t xml:space="preserve"/>
      </w:r>
    </w:p>
    <w:p>
      <w:pPr>
        <w:pStyle w:val="Heading2"/>
        <w:spacing w:after="70" w:before="160"/>
      </w:pPr>
      <w:r>
        <w:rPr>
          <w:rFonts w:ascii="Arial" w:cs="Arial" w:eastAsia="Arial" w:hAnsi="Arial"/>
          <w:b/>
          <w:bCs/>
          <w:color w:val="1A6B8A"/>
          <w:sz w:val="21"/>
          <w:szCs w:val="21"/>
        </w:rPr>
        <w:t xml:space="preserve">4.3  Datastores</w:t>
      </w:r>
    </w:p>
    <w:p>
      <w:pPr>
        <w:spacing w:after="130"/>
        <w:ind w:left="280"/>
      </w:pPr>
      <w:r>
        <w:rPr>
          <w:rFonts w:ascii="Arial" w:cs="Arial" w:eastAsia="Arial" w:hAnsi="Arial"/>
          <w:b/>
          <w:bCs/>
          <w:color w:val="C0392B"/>
          <w:sz w:val="17"/>
          <w:szCs w:val="17"/>
        </w:rPr>
        <w:t xml:space="preserve">IMPORTANT:  </w:t>
      </w:r>
      <w:r>
        <w:rPr>
          <w:rFonts w:ascii="Arial" w:cs="Arial" w:eastAsia="Arial" w:hAnsi="Arial"/>
          <w:color w:val="C0392B"/>
          <w:sz w:val="17"/>
          <w:szCs w:val="17"/>
        </w:rPr>
        <w:t xml:space="preserve">Do NOT tag the -DSC objects. They are datastore clusters (StoragePod) and Ansible cannot read tags on them. Tag the MEMBER datastores inside each -DSC cluster instead.</w:t>
      </w:r>
    </w:p>
    <w:p>
      <w:pPr>
        <w:spacing w:after="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Every member datastore of a -DSC cluster gets the same three tags. Ansible reads the member's parent cluster and deploys to that cluster, letting SDRS choose the datastore.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00"/>
        <w:gridCol w:w="2200"/>
        <w:gridCol w:w="2300"/>
        <w:gridCol w:w="2160"/>
      </w:tblGrid>
      <w:tr>
        <w:trPr>
          <w:tblHeader/>
        </w:trPr>
        <w:tc>
          <w:tcPr>
            <w:shd w:fill="1A6B8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Tag these</w:t>
            </w:r>
          </w:p>
        </w:tc>
        <w:tc>
          <w:tcPr>
            <w:shd w:fill="1A6B8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Datastore_Org</w:t>
            </w:r>
          </w:p>
        </w:tc>
        <w:tc>
          <w:tcPr>
            <w:shd w:fill="1A6B8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Datastore_Location</w:t>
            </w:r>
          </w:p>
        </w:tc>
        <w:tc>
          <w:tcPr>
            <w:shd w:fill="1A6B8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Datastore_OS</w:t>
            </w:r>
          </w:p>
        </w:tc>
      </w:tr>
      <w:tr>
        <w:tc>
          <w:tcPr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members of CS-INB-LX-DSC</w:t>
            </w:r>
          </w:p>
        </w:tc>
        <w:tc>
          <w:tcPr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Datastore_Org_CS</w:t>
            </w:r>
          </w:p>
        </w:tc>
        <w:tc>
          <w:tcPr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Datastore_Location_INB</w:t>
            </w:r>
          </w:p>
        </w:tc>
        <w:tc>
          <w:tcPr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Datastore_OS_Linux</w:t>
            </w:r>
          </w:p>
        </w:tc>
      </w:tr>
      <w:tr>
        <w:tc>
          <w:tcPr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members of CS-INB-WIN-DSC</w:t>
            </w:r>
          </w:p>
        </w:tc>
        <w:tc>
          <w:tcPr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Datastore_Org_CS</w:t>
            </w:r>
          </w:p>
        </w:tc>
        <w:tc>
          <w:tcPr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Datastore_Location_INB</w:t>
            </w:r>
          </w:p>
        </w:tc>
        <w:tc>
          <w:tcPr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Datastore_OS_Windows</w:t>
            </w:r>
          </w:p>
        </w:tc>
      </w:tr>
      <w:tr>
        <w:tc>
          <w:tcPr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members of CS-RIC-LX-DSC</w:t>
            </w:r>
          </w:p>
        </w:tc>
        <w:tc>
          <w:tcPr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Datastore_Org_CS</w:t>
            </w:r>
          </w:p>
        </w:tc>
        <w:tc>
          <w:tcPr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Datastore_Location_RIC</w:t>
            </w:r>
          </w:p>
        </w:tc>
        <w:tc>
          <w:tcPr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Datastore_OS_Linux</w:t>
            </w:r>
          </w:p>
        </w:tc>
      </w:tr>
      <w:tr>
        <w:tc>
          <w:tcPr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standalone e.g. CS-INB-WIN-CXCB</w:t>
            </w:r>
          </w:p>
        </w:tc>
        <w:tc>
          <w:tcPr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one Org tag</w:t>
            </w:r>
          </w:p>
        </w:tc>
        <w:tc>
          <w:tcPr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one Location tag</w:t>
            </w:r>
          </w:p>
        </w:tc>
        <w:tc>
          <w:tcPr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one OS tag</w:t>
            </w:r>
          </w:p>
        </w:tc>
      </w:tr>
    </w:tbl>
    <w:p>
      <w:pPr>
        <w:spacing w:after="110"/>
      </w:pPr>
      <w:r>
        <w:t xml:space="preserve"/>
      </w:r>
    </w:p>
    <w:p>
      <w:pPr>
        <w:spacing w:after="130"/>
        <w:ind w:left="280"/>
      </w:pPr>
      <w:r>
        <w:rPr>
          <w:rFonts w:ascii="Arial" w:cs="Arial" w:eastAsia="Arial" w:hAnsi="Arial"/>
          <w:b/>
          <w:bCs/>
          <w:color w:val="B45309"/>
          <w:sz w:val="17"/>
          <w:szCs w:val="17"/>
        </w:rPr>
        <w:t xml:space="preserve">RULE:  </w:t>
      </w:r>
      <w:r>
        <w:rPr>
          <w:rFonts w:ascii="Arial" w:cs="Arial" w:eastAsia="Arial" w:hAnsi="Arial"/>
          <w:color w:val="B45309"/>
          <w:sz w:val="17"/>
          <w:szCs w:val="17"/>
        </w:rPr>
        <w:t xml:space="preserve">All members of one -DSC cluster must carry identical tags, and no two clusters may share a tag combination. Ansible fails the run if matches span more than one cluster.</w:t>
      </w:r>
    </w:p>
    <w:p>
      <w:pPr>
        <w:pBdr>
          <w:bottom w:val="single" w:color="2E4057" w:sz="6"/>
        </w:pBdr>
        <w:spacing w:after="100"/>
      </w:pPr>
      <w:r>
        <w:t xml:space="preserve"/>
      </w:r>
    </w:p>
    <w:p>
      <w:pPr>
        <w:pStyle w:val="Heading1"/>
        <w:spacing w:after="100" w:before="22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5.  Default Tags</w:t>
      </w:r>
    </w:p>
    <w:p>
      <w:pPr>
        <w:spacing w:after="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Default tags are for gaps only. An org with full coverage needs none.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00"/>
        <w:gridCol w:w="6160"/>
      </w:tblGrid>
      <w:tr>
        <w:trPr>
          <w:tblHeader/>
        </w:trPr>
        <w:tc>
          <w:tcPr>
            <w:shd w:fill="1A6B8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Gap</w:t>
            </w:r>
          </w:p>
        </w:tc>
        <w:tc>
          <w:tcPr>
            <w:shd w:fill="1A6B8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Apply</w:t>
            </w:r>
          </w:p>
        </w:tc>
      </w:tr>
      <w:tr>
        <w:tc>
          <w:tcPr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Org exists at one location only</w:t>
            </w:r>
          </w:p>
        </w:tc>
        <w:tc>
          <w:tcPr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Datacenter_Location_Default and Cluster_Location_Default on that object, in addition to its real Location tag</w:t>
            </w:r>
          </w:p>
        </w:tc>
      </w:tr>
      <w:tr>
        <w:tc>
          <w:tcPr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Org has one datastore shared across OS types</w:t>
            </w:r>
          </w:p>
        </w:tc>
        <w:tc>
          <w:tcPr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Datastore_OS_Default in addition to its real Location tag</w:t>
            </w:r>
          </w:p>
        </w:tc>
      </w:tr>
      <w:tr>
        <w:tc>
          <w:tcPr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Org has no datastore at a requested location</w:t>
            </w:r>
          </w:p>
        </w:tc>
        <w:tc>
          <w:tcPr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Datastore_Location_Default on the chosen fallback datastore</w:t>
            </w:r>
          </w:p>
        </w:tc>
      </w:tr>
    </w:tbl>
    <w:p>
      <w:pPr>
        <w:spacing w:after="110"/>
      </w:pPr>
      <w:r>
        <w:t xml:space="preserve"/>
      </w:r>
    </w:p>
    <w:p>
      <w:pPr>
        <w:spacing w:after="5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9"/>
          <w:szCs w:val="19"/>
        </w:rPr>
        <w:t xml:space="preserve">Example — AMAG exists only at INB:</w:t>
      </w:r>
    </w:p>
    <w:p>
      <w:pPr>
        <w:spacing w:after="9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6B8A"/>
          <w:sz w:val="19"/>
          <w:szCs w:val="19"/>
        </w:rPr>
        <w:t xml:space="preserve">AMAG-INB datacenter → Datacenter_Org_AMAG + Datacenter_Location_INB + Datacenter_Location_Default</w:t>
      </w:r>
    </w:p>
    <w:p>
      <w:pPr>
        <w:spacing w:after="110"/>
      </w:pPr>
      <w:r>
        <w:t xml:space="preserve"/>
      </w:r>
    </w:p>
    <w:p>
      <w:pPr>
        <w:spacing w:after="5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9"/>
          <w:szCs w:val="19"/>
        </w:rPr>
        <w:t xml:space="preserve">Resolution order used by Ansible: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00"/>
        <w:gridCol w:w="2000"/>
        <w:gridCol w:w="2400"/>
        <w:gridCol w:w="2560"/>
        <w:gridCol w:w="800"/>
      </w:tblGrid>
      <w:tr>
        <w:trPr>
          <w:tblHeader/>
        </w:trPr>
        <w:tc>
          <w:tcPr>
            <w:shd w:fill="1A6B8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Object</w:t>
            </w:r>
          </w:p>
        </w:tc>
        <w:tc>
          <w:tcPr>
            <w:shd w:fill="1A6B8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1st</w:t>
            </w:r>
          </w:p>
        </w:tc>
        <w:tc>
          <w:tcPr>
            <w:shd w:fill="1A6B8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2nd</w:t>
            </w:r>
          </w:p>
        </w:tc>
        <w:tc>
          <w:tcPr>
            <w:shd w:fill="1A6B8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3rd</w:t>
            </w:r>
          </w:p>
        </w:tc>
        <w:tc>
          <w:tcPr>
            <w:shd w:fill="1A6B8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 match</w:t>
            </w:r>
          </w:p>
        </w:tc>
      </w:tr>
      <w:tr>
        <w:tc>
          <w:tcPr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Datacenter</w:t>
            </w:r>
          </w:p>
        </w:tc>
        <w:tc>
          <w:tcPr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Org + Location</w:t>
            </w:r>
          </w:p>
        </w:tc>
        <w:tc>
          <w:tcPr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Org + Location_Default</w:t>
            </w:r>
          </w:p>
        </w:tc>
        <w:tc>
          <w:tcPr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Fail</w:t>
            </w:r>
          </w:p>
        </w:tc>
      </w:tr>
      <w:tr>
        <w:tc>
          <w:tcPr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Cluster</w:t>
            </w:r>
          </w:p>
        </w:tc>
        <w:tc>
          <w:tcPr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Org + Location</w:t>
            </w:r>
          </w:p>
        </w:tc>
        <w:tc>
          <w:tcPr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Org + Location_Default</w:t>
            </w:r>
          </w:p>
        </w:tc>
        <w:tc>
          <w:tcPr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Fail</w:t>
            </w:r>
          </w:p>
        </w:tc>
      </w:tr>
      <w:tr>
        <w:tc>
          <w:tcPr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Datastore</w:t>
            </w:r>
          </w:p>
        </w:tc>
        <w:tc>
          <w:tcPr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Org + Loc + OS</w:t>
            </w:r>
          </w:p>
        </w:tc>
        <w:tc>
          <w:tcPr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Org + Loc + OS_Default</w:t>
            </w:r>
          </w:p>
        </w:tc>
        <w:tc>
          <w:tcPr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Org + Loc_Default + OS_Default</w:t>
            </w:r>
          </w:p>
        </w:tc>
        <w:tc>
          <w:tcPr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Fail</w:t>
            </w:r>
          </w:p>
        </w:tc>
      </w:tr>
    </w:tbl>
    <w:p>
      <w:r>
        <w:br w:type="page"/>
      </w:r>
    </w:p>
    <w:p>
      <w:pPr>
        <w:pStyle w:val="Heading1"/>
        <w:spacing w:after="100" w:before="22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6. 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00"/>
        <w:gridCol w:w="7960"/>
        <w:gridCol w:w="1000"/>
      </w:tblGrid>
      <w:tr>
        <w:trPr>
          <w:tblHeader/>
        </w:trPr>
        <w:tc>
          <w:tcPr>
            <w:shd w:fill="1A6B8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shd w:fill="1A6B8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Item</w:t>
            </w:r>
          </w:p>
        </w:tc>
        <w:tc>
          <w:tcPr>
            <w:shd w:fill="1A6B8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Done</w:t>
            </w:r>
          </w:p>
        </w:tc>
      </w:tr>
      <w:tr>
        <w:tc>
          <w:tcPr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Confirmed: -DSC objects are datastore clusters; members tagged, not the cluster</w:t>
            </w:r>
          </w:p>
        </w:tc>
        <w:tc>
          <w:tcPr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☐</w:t>
            </w:r>
          </w:p>
        </w:tc>
      </w:tr>
      <w:tr>
        <w:tc>
          <w:tcPr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 categories created with correct cardinality and associable object type</w:t>
            </w:r>
          </w:p>
        </w:tc>
        <w:tc>
          <w:tcPr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☐</w:t>
            </w:r>
          </w:p>
        </w:tc>
      </w:tr>
      <w:tr>
        <w:tc>
          <w:tcPr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41 tags created with exact names</w:t>
            </w:r>
          </w:p>
        </w:tc>
        <w:tc>
          <w:tcPr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☐</w:t>
            </w:r>
          </w:p>
        </w:tc>
      </w:tr>
      <w:tr>
        <w:tc>
          <w:tcPr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Every datacenter tagged: Org + Location</w:t>
            </w:r>
          </w:p>
        </w:tc>
        <w:tc>
          <w:tcPr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☐</w:t>
            </w:r>
          </w:p>
        </w:tc>
      </w:tr>
      <w:tr>
        <w:tc>
          <w:tcPr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Every cluster tagged: Org + Location</w:t>
            </w:r>
          </w:p>
        </w:tc>
        <w:tc>
          <w:tcPr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☐</w:t>
            </w:r>
          </w:p>
        </w:tc>
      </w:tr>
      <w:tr>
        <w:tc>
          <w:tcPr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</w:t>
            </w:r>
          </w:p>
        </w:tc>
        <w:tc>
          <w:tcPr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Every member datastore tagged: Org + Location + OS</w:t>
            </w:r>
          </w:p>
        </w:tc>
        <w:tc>
          <w:tcPr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☐</w:t>
            </w:r>
          </w:p>
        </w:tc>
      </w:tr>
      <w:tr>
        <w:tc>
          <w:tcPr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6b</w:t>
            </w:r>
          </w:p>
        </w:tc>
        <w:tc>
          <w:tcPr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All members of a -DSC cluster carry identical tags</w:t>
            </w:r>
          </w:p>
        </w:tc>
        <w:tc>
          <w:tcPr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☐</w:t>
            </w:r>
          </w:p>
        </w:tc>
      </w:tr>
      <w:tr>
        <w:tc>
          <w:tcPr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</w:t>
            </w:r>
          </w:p>
        </w:tc>
        <w:tc>
          <w:tcPr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Orgs with coverage gaps identified</w:t>
            </w:r>
          </w:p>
        </w:tc>
        <w:tc>
          <w:tcPr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☐</w:t>
            </w:r>
          </w:p>
        </w:tc>
      </w:tr>
      <w:tr>
        <w:tc>
          <w:tcPr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</w:t>
            </w:r>
          </w:p>
        </w:tc>
        <w:tc>
          <w:tcPr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Default tags applied to those gap orgs only</w:t>
            </w:r>
          </w:p>
        </w:tc>
        <w:tc>
          <w:tcPr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☐</w:t>
            </w:r>
          </w:p>
        </w:tc>
      </w:tr>
      <w:tr>
        <w:tc>
          <w:tcPr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</w:t>
            </w:r>
          </w:p>
        </w:tc>
        <w:tc>
          <w:tcPr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Read-only service account granted tag read permission</w:t>
            </w:r>
          </w:p>
        </w:tc>
        <w:tc>
          <w:tcPr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☐</w:t>
            </w:r>
          </w:p>
        </w:tc>
      </w:tr>
      <w:tr>
        <w:tc>
          <w:tcPr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</w:t>
            </w:r>
          </w:p>
        </w:tc>
        <w:tc>
          <w:tcPr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Automation team notified for resolution testing</w:t>
            </w:r>
          </w:p>
        </w:tc>
        <w:tc>
          <w:tcPr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☐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1"/>
        <w:spacing w:after="100" w:before="22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7.  Folders — Out of Scope</w:t>
      </w:r>
    </w:p>
    <w:p>
      <w:pPr>
        <w:spacing w:after="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The Ansible module that lists folders exposes only the folder path and managed object ID. It returns no tag data, so folder tags cannot be read at deployment time.</w:t>
      </w:r>
    </w:p>
    <w:p>
      <w:pPr>
        <w:spacing w:after="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Folder placement will be resolved by path convention instead. No folder tags are required. If no folder matches, the VM is placed at the datacenter root.</w:t>
      </w:r>
    </w:p>
    <w:p>
      <w:pPr>
        <w:spacing w:after="140"/>
      </w:pPr>
      <w:r>
        <w:t xml:space="preserve"/>
      </w:r>
    </w:p>
    <w:p>
      <w:pPr>
        <w:pBdr>
          <w:bottom w:val="single" w:color="2E4057" w:sz="6"/>
        </w:pBdr>
        <w:spacing w:after="1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55555"/>
          <w:sz w:val="15"/>
          <w:szCs w:val="15"/>
        </w:rPr>
        <w:t xml:space="preserve">vCenter Tagging Specification  |  Dominion Energy ITIO CO  |  v4.0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2026-08-21T23:19:56.556Z</dcterms:created>
  <dcterms:modified xsi:type="dcterms:W3CDTF">2026-08-21T23:19:56.568Z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