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Prior Justification Report</w:t>
      </w:r>
    </w:p>
    <w:p>
      <w:pPr>
        <w:pStyle w:val="Subtitle"/>
      </w:pPr>
      <w:r>
        <w:t xml:space="preserve">Clinical Trial</w:t>
      </w:r>
    </w:p>
    <w:p>
      <w:pPr>
        <w:pStyle w:val="Author"/>
      </w:pPr>
      <w:r>
        <w:t xml:space="preserve">Biostatistics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executive-summary"/>
    <w:p>
      <w:pPr>
        <w:pStyle w:val="Heading2"/>
      </w:pPr>
      <w:r>
        <w:t xml:space="preserve">Executive Summary</w:t>
      </w:r>
    </w:p>
    <w:p>
      <w:pPr>
        <w:pStyle w:val="FirstParagraph"/>
      </w:pPr>
      <w:r>
        <w:t xml:space="preserve">This report documents the Bayesian prior specification for study</w:t>
      </w:r>
      <w:r>
        <w:t xml:space="preserve"> </w:t>
      </w:r>
      <w:r>
        <w:rPr>
          <w:b/>
          <w:bCs/>
        </w:rPr>
        <w:t xml:space="preserve">Clinical Trial</w:t>
      </w:r>
      <w:r>
        <w:t xml:space="preserve">, prepared by</w:t>
      </w:r>
      <w:r>
        <w:t xml:space="preserve"> </w:t>
      </w:r>
      <w:r>
        <w:rPr>
          <w:b/>
          <w:bCs/>
        </w:rPr>
        <w:t xml:space="preserve">Biostatistics</w:t>
      </w:r>
      <w:r>
        <w:t xml:space="preserve"> </w:t>
      </w:r>
      <w:r>
        <w:t xml:space="preserve">(Sponsor) and dated 08 May 2026.</w:t>
      </w:r>
    </w:p>
    <w:p>
      <w:r>
        <w:pict>
          <v:rect style="width:0;height:1.5pt" o:hralign="center" o:hrstd="t" o:hr="t"/>
        </w:pict>
      </w:r>
    </w:p>
    <w:bookmarkEnd w:id="9"/>
    <w:bookmarkStart w:id="10" w:name="trial-information"/>
    <w:p>
      <w:pPr>
        <w:pStyle w:val="Heading2"/>
      </w:pPr>
      <w:r>
        <w:t xml:space="preserve">Trial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Trial / Protocol</w:t>
            </w:r>
          </w:p>
        </w:tc>
        <w:tc>
          <w:tcPr/>
          <w:p>
            <w:pPr>
              <w:pStyle w:val="Compact"/>
              <w:jc w:val="left"/>
            </w:pPr>
            <w:r>
              <w:t xml:space="preserve">Clinical Trial</w:t>
            </w:r>
          </w:p>
        </w:tc>
      </w:tr>
      <w:tr>
        <w:tc>
          <w:tcPr/>
          <w:p>
            <w:pPr>
              <w:pStyle w:val="Compact"/>
              <w:jc w:val="left"/>
            </w:pPr>
            <w:r>
              <w:t xml:space="preserve">Sponsor</w:t>
            </w:r>
          </w:p>
        </w:tc>
        <w:tc>
          <w:tcPr/>
          <w:p>
            <w:pPr>
              <w:pStyle w:val="Compact"/>
              <w:jc w:val="left"/>
            </w:pPr>
            <w:r>
              <w:t xml:space="preserve">Sponsor</w:t>
            </w:r>
          </w:p>
        </w:tc>
      </w:tr>
      <w:tr>
        <w:tc>
          <w:tcPr/>
          <w:p>
            <w:pPr>
              <w:pStyle w:val="Compact"/>
              <w:jc w:val="left"/>
            </w:pPr>
            <w:r>
              <w:t xml:space="preserve">Statistician</w:t>
            </w:r>
          </w:p>
        </w:tc>
        <w:tc>
          <w:tcPr/>
          <w:p>
            <w:pPr>
              <w:pStyle w:val="Compact"/>
              <w:jc w:val="left"/>
            </w:pPr>
            <w:r>
              <w:t xml:space="preserve">Biostatistics</w:t>
            </w:r>
          </w:p>
        </w:tc>
      </w:tr>
      <w:tr>
        <w:tc>
          <w:tcPr/>
          <w:p>
            <w:pPr>
              <w:pStyle w:val="Compact"/>
              <w:jc w:val="left"/>
            </w:pPr>
            <w:r>
              <w:t xml:space="preserve">Report date</w:t>
            </w:r>
          </w:p>
        </w:tc>
        <w:tc>
          <w:tcPr/>
          <w:p>
            <w:pPr>
              <w:pStyle w:val="Compact"/>
              <w:jc w:val="left"/>
            </w:pPr>
            <w:r>
              <w:t xml:space="preserve">08 May 2026</w:t>
            </w:r>
          </w:p>
        </w:tc>
      </w:tr>
    </w:tbl>
    <w:p>
      <w:r>
        <w:pict>
          <v:rect style="width:0;height:1.5pt" o:hralign="center" o:hrstd="t" o:hr="t"/>
        </w:pict>
      </w:r>
    </w:p>
    <w:bookmarkEnd w:id="10"/>
    <w:bookmarkStart w:id="15" w:name="prior-specification"/>
    <w:p>
      <w:pPr>
        <w:pStyle w:val="Heading2"/>
      </w:pPr>
      <w:r>
        <w:t xml:space="preserve">Prior Specification</w:t>
      </w:r>
    </w:p>
    <w:bookmarkStart w:id="11" w:name="elicitation-methodology"/>
    <w:p>
      <w:pPr>
        <w:pStyle w:val="Heading3"/>
      </w:pPr>
      <w:r>
        <w:t xml:space="preserve">Elicitation Methodology</w:t>
      </w:r>
    </w:p>
    <w:bookmarkEnd w:id="11"/>
    <w:bookmarkStart w:id="12" w:name="fitted-parameters"/>
    <w:p>
      <w:pPr>
        <w:pStyle w:val="Heading3"/>
      </w:pPr>
      <w:r>
        <w:t xml:space="preserve">Fitted Parameters</w:t>
      </w:r>
    </w:p>
    <w:bookmarkEnd w:id="12"/>
    <w:bookmarkStart w:id="13" w:name="prior-summary-statistics"/>
    <w:p>
      <w:pPr>
        <w:pStyle w:val="Heading3"/>
      </w:pPr>
      <w:r>
        <w:t xml:space="preserve">Prior Summary Statistics</w:t>
      </w:r>
    </w:p>
    <w:bookmarkEnd w:id="13"/>
    <w:bookmarkStart w:id="14" w:name="prior-density"/>
    <w:p>
      <w:pPr>
        <w:pStyle w:val="Heading3"/>
      </w:pPr>
      <w:r>
        <w:t xml:space="preserve">Prior Density</w:t>
      </w:r>
    </w:p>
    <w:p>
      <w:r>
        <w:pict>
          <v:rect style="width:0;height:1.5pt" o:hralign="center" o:hrstd="t" o:hr="t"/>
        </w:pict>
      </w:r>
    </w:p>
    <w:bookmarkEnd w:id="14"/>
    <w:bookmarkEnd w:id="15"/>
    <w:bookmarkStart w:id="20" w:name="prior-data-conflict-assessment"/>
    <w:p>
      <w:pPr>
        <w:pStyle w:val="Heading2"/>
      </w:pPr>
      <w:r>
        <w:t xml:space="preserve">Prior-Data Conflict Assessment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opt/quarto/share/formats/docx/warning.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 prior-data conflict diagnostics were computed for this report.</w:t>
            </w:r>
          </w:p>
          <w:p/>
        </w:tc>
      </w:tr>
    </w:tbl>
    <w:bookmarkStart w:id="19" w:name="prior---likelihood---posterior-overlay"/>
    <w:p>
      <w:pPr>
        <w:pStyle w:val="Heading3"/>
      </w:pPr>
      <w:r>
        <w:t xml:space="preserve">Prior - Likelihood - Posterior Overlay</w:t>
      </w:r>
    </w:p>
    <w:p>
      <w:r>
        <w:pict>
          <v:rect style="width:0;height:1.5pt" o:hralign="center" o:hrstd="t" o:hr="t"/>
        </w:pict>
      </w:r>
    </w:p>
    <w:bookmarkEnd w:id="19"/>
    <w:bookmarkEnd w:id="20"/>
    <w:bookmarkStart w:id="26" w:name="sensitivity-analysis"/>
    <w:p>
      <w:pPr>
        <w:pStyle w:val="Heading2"/>
      </w:pPr>
      <w:r>
        <w:t xml:space="preserve">Sensitivity Analysis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warning.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 sensitivity analysis was conducted for this report.</w:t>
            </w:r>
          </w:p>
          <w:p/>
        </w:tc>
      </w:tr>
    </w:tbl>
    <w:bookmarkStart w:id="23" w:name="influence-of-prior-hyperparameters"/>
    <w:p>
      <w:pPr>
        <w:pStyle w:val="Heading3"/>
      </w:pPr>
      <w:r>
        <w:t xml:space="preserve">Influence of Prior Hyperparameters</w:t>
      </w:r>
    </w:p>
    <w:bookmarkEnd w:id="23"/>
    <w:bookmarkStart w:id="24" w:name="tornado-plot"/>
    <w:p>
      <w:pPr>
        <w:pStyle w:val="Heading3"/>
      </w:pPr>
      <w:r>
        <w:t xml:space="preserve">Tornado Plot</w:t>
      </w:r>
    </w:p>
    <w:bookmarkEnd w:id="24"/>
    <w:bookmarkStart w:id="25" w:name="hyperparameter-influence-heatmap"/>
    <w:p>
      <w:pPr>
        <w:pStyle w:val="Heading3"/>
      </w:pPr>
      <w:r>
        <w:t xml:space="preserve">Hyperparameter Influence Heatmap</w:t>
      </w:r>
    </w:p>
    <w:p>
      <w:r>
        <w:pict>
          <v:rect style="width:0;height:1.5pt" o:hralign="center" o:hrstd="t" o:hr="t"/>
        </w:pict>
      </w:r>
    </w:p>
    <w:bookmarkEnd w:id="25"/>
    <w:bookmarkEnd w:id="26"/>
    <w:bookmarkStart w:id="29" w:name="robust-and-sensitivity-priors"/>
    <w:p>
      <w:pPr>
        <w:pStyle w:val="Heading2"/>
      </w:pPr>
      <w:r>
        <w:t xml:space="preserve">Robust and Sensitivity Priors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 robust, sceptical, or power priors were computed for this report.</w:t>
            </w:r>
          </w:p>
          <w:p/>
        </w:tc>
      </w:tr>
    </w:tbl>
    <w:p>
      <w:r>
        <w:pict>
          <v:rect style="width:0;height:1.5pt" o:hralign="center" o:hrstd="t" o:hr="t"/>
        </w:pict>
      </w:r>
    </w:p>
    <w:bookmarkEnd w:id="29"/>
    <w:bookmarkStart w:id="33" w:name="regulatory-compliance-checklist"/>
    <w:p>
      <w:pPr>
        <w:pStyle w:val="Heading2"/>
      </w:pPr>
      <w:r>
        <w:t xml:space="preserve">Regulatory Compliance Checklist</w:t>
      </w:r>
    </w:p>
    <w:p>
      <w:pPr>
        <w:pStyle w:val="TableCaption"/>
      </w:pPr>
      <w:r>
        <w:t xml:space="preserve">FDA/EMA regulatory compliance checklist</w:t>
      </w:r>
    </w:p>
    <w:tbl>
      <w:tblPr>
        <w:tblStyle w:val="Table"/>
        <w:tblW w:type="auto" w:w="0"/>
        <w:tblLook w:firstRow="1" w:lastRow="0" w:firstColumn="0" w:lastColumn="0" w:noHBand="0" w:noVBand="0" w:val="0020"/>
        <w:tblCaption w:val="FDA/EMA regulatory compliance checklist"/>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Prior elicitation method documented</w:t>
            </w:r>
          </w:p>
        </w:tc>
        <w:tc>
          <w:tcPr/>
          <w:p>
            <w:pPr>
              <w:pStyle w:val="Compact"/>
              <w:jc w:val="left"/>
            </w:pPr>
            <w:r>
              <w:t xml:space="preserve">Missing</w:t>
            </w:r>
          </w:p>
        </w:tc>
      </w:tr>
      <w:tr>
        <w:tc>
          <w:tcPr/>
          <w:p>
            <w:pPr>
              <w:pStyle w:val="Compact"/>
              <w:jc w:val="left"/>
            </w:pPr>
            <w:r>
              <w:t xml:space="preserve">Distribution family and parameters specified</w:t>
            </w:r>
          </w:p>
        </w:tc>
        <w:tc>
          <w:tcPr/>
          <w:p>
            <w:pPr>
              <w:pStyle w:val="Compact"/>
              <w:jc w:val="left"/>
            </w:pPr>
            <w:r>
              <w:t xml:space="preserve">Missing</w:t>
            </w:r>
          </w:p>
        </w:tc>
      </w:tr>
      <w:tr>
        <w:tc>
          <w:tcPr/>
          <w:p>
            <w:pPr>
              <w:pStyle w:val="Compact"/>
              <w:jc w:val="left"/>
            </w:pPr>
            <w:r>
              <w:t xml:space="preserve">Expert / source of prior identified</w:t>
            </w:r>
          </w:p>
        </w:tc>
        <w:tc>
          <w:tcPr/>
          <w:p>
            <w:pPr>
              <w:pStyle w:val="Compact"/>
              <w:jc w:val="left"/>
            </w:pPr>
            <w:r>
              <w:t xml:space="preserve">Missing</w:t>
            </w:r>
          </w:p>
        </w:tc>
      </w:tr>
      <w:tr>
        <w:tc>
          <w:tcPr/>
          <w:p>
            <w:pPr>
              <w:pStyle w:val="Compact"/>
              <w:jc w:val="left"/>
            </w:pPr>
            <w:r>
              <w:t xml:space="preserve">Prior density plot provided</w:t>
            </w:r>
          </w:p>
        </w:tc>
        <w:tc>
          <w:tcPr/>
          <w:p>
            <w:pPr>
              <w:pStyle w:val="Compact"/>
              <w:jc w:val="left"/>
            </w:pPr>
            <w:r>
              <w:t xml:space="preserve">Missing</w:t>
            </w:r>
          </w:p>
        </w:tc>
      </w:tr>
      <w:tr>
        <w:tc>
          <w:tcPr/>
          <w:p>
            <w:pPr>
              <w:pStyle w:val="Compact"/>
              <w:jc w:val="left"/>
            </w:pPr>
            <w:r>
              <w:t xml:space="preserve">Prior-data conflict assessed</w:t>
            </w:r>
          </w:p>
        </w:tc>
        <w:tc>
          <w:tcPr/>
          <w:p>
            <w:pPr>
              <w:pStyle w:val="Compact"/>
              <w:jc w:val="left"/>
            </w:pPr>
            <w:r>
              <w:t xml:space="preserve">Not run</w:t>
            </w:r>
          </w:p>
        </w:tc>
      </w:tr>
      <w:tr>
        <w:tc>
          <w:tcPr/>
          <w:p>
            <w:pPr>
              <w:pStyle w:val="Compact"/>
              <w:jc w:val="left"/>
            </w:pPr>
            <w:r>
              <w:t xml:space="preserve">Conflict diagnostic statistics reported</w:t>
            </w:r>
          </w:p>
        </w:tc>
        <w:tc>
          <w:tcPr/>
          <w:p>
            <w:pPr>
              <w:pStyle w:val="Compact"/>
              <w:jc w:val="left"/>
            </w:pPr>
            <w:r>
              <w:t xml:space="preserve">Not run</w:t>
            </w:r>
          </w:p>
        </w:tc>
      </w:tr>
      <w:tr>
        <w:tc>
          <w:tcPr/>
          <w:p>
            <w:pPr>
              <w:pStyle w:val="Compact"/>
              <w:jc w:val="left"/>
            </w:pPr>
            <w:r>
              <w:t xml:space="preserve">Sensitivity analysis performed</w:t>
            </w:r>
          </w:p>
        </w:tc>
        <w:tc>
          <w:tcPr/>
          <w:p>
            <w:pPr>
              <w:pStyle w:val="Compact"/>
              <w:jc w:val="left"/>
            </w:pPr>
            <w:r>
              <w:t xml:space="preserve">Not run</w:t>
            </w:r>
          </w:p>
        </w:tc>
      </w:tr>
      <w:tr>
        <w:tc>
          <w:tcPr/>
          <w:p>
            <w:pPr>
              <w:pStyle w:val="Compact"/>
              <w:jc w:val="left"/>
            </w:pPr>
            <w:r>
              <w:t xml:space="preserve">Sensitivity visualisations provided</w:t>
            </w:r>
          </w:p>
        </w:tc>
        <w:tc>
          <w:tcPr/>
          <w:p>
            <w:pPr>
              <w:pStyle w:val="Compact"/>
              <w:jc w:val="left"/>
            </w:pPr>
            <w:r>
              <w:t xml:space="preserve">Not run</w:t>
            </w:r>
          </w:p>
        </w:tc>
      </w:tr>
      <w:tr>
        <w:tc>
          <w:tcPr/>
          <w:p>
            <w:pPr>
              <w:pStyle w:val="Compact"/>
              <w:jc w:val="left"/>
            </w:pPr>
            <w:r>
              <w:t xml:space="preserve">Alternative priors considered</w:t>
            </w:r>
          </w:p>
        </w:tc>
        <w:tc>
          <w:tcPr/>
          <w:p>
            <w:pPr>
              <w:pStyle w:val="Compact"/>
              <w:jc w:val="left"/>
            </w:pPr>
            <w:r>
              <w:t xml:space="preserve">Not run</w:t>
            </w:r>
          </w:p>
        </w:tc>
      </w:tr>
      <w:tr>
        <w:tc>
          <w:tcPr/>
          <w:p>
            <w:pPr>
              <w:pStyle w:val="Compact"/>
              <w:jc w:val="left"/>
            </w:pPr>
            <w:r>
              <w:t xml:space="preserve">Robust / sceptical prior computed</w:t>
            </w:r>
          </w:p>
        </w:tc>
        <w:tc>
          <w:tcPr/>
          <w:p>
            <w:pPr>
              <w:pStyle w:val="Compact"/>
              <w:jc w:val="left"/>
            </w:pPr>
            <w:r>
              <w:t xml:space="preserve">Not run</w:t>
            </w:r>
          </w:p>
        </w:tc>
      </w:tr>
      <w:tr>
        <w:tc>
          <w:tcPr/>
          <w:p>
            <w:pPr>
              <w:pStyle w:val="Compact"/>
              <w:jc w:val="left"/>
            </w:pPr>
            <w:r>
              <w:t xml:space="preserve">Regulatory report generated</w:t>
            </w:r>
          </w:p>
        </w:tc>
        <w:tc>
          <w:tcPr/>
          <w:p>
            <w:pPr>
              <w:pStyle w:val="Compact"/>
              <w:jc w:val="left"/>
            </w:pPr>
            <w:r>
              <w:t xml:space="preserve">Complete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checklist maps to requirements in the FDA Draft Guidance on Bayesian Statistical Methods (2026) and the EMA Reflection Paper on the Use of Bayesian Statistics in the Evaluation of Medicinal Products.</w:t>
            </w:r>
          </w:p>
          <w:p/>
        </w:tc>
      </w:tr>
    </w:tbl>
    <w:p>
      <w:r>
        <w:pict>
          <v:rect style="width:0;height:1.5pt" o:hralign="center" o:hrstd="t" o:hr="t"/>
        </w:pict>
      </w:r>
    </w:p>
    <w:bookmarkEnd w:id="33"/>
    <w:bookmarkStart w:id="34" w:name="appendix-session-information"/>
    <w:p>
      <w:pPr>
        <w:pStyle w:val="Heading2"/>
      </w:pPr>
      <w:r>
        <w:t xml:space="preserve">Appendix: Session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R version</w:t>
            </w:r>
          </w:p>
        </w:tc>
        <w:tc>
          <w:tcPr/>
          <w:p>
            <w:pPr>
              <w:pStyle w:val="Compact"/>
              <w:jc w:val="left"/>
            </w:pPr>
            <w:r>
              <w:t xml:space="preserve">4.6.0</w:t>
            </w:r>
          </w:p>
        </w:tc>
      </w:tr>
      <w:tr>
        <w:tc>
          <w:tcPr/>
          <w:p>
            <w:pPr>
              <w:pStyle w:val="Compact"/>
              <w:jc w:val="left"/>
            </w:pPr>
            <w:r>
              <w:t xml:space="preserve">bayprior version</w:t>
            </w:r>
          </w:p>
        </w:tc>
        <w:tc>
          <w:tcPr/>
          <w:p>
            <w:pPr>
              <w:pStyle w:val="Compact"/>
              <w:jc w:val="left"/>
            </w:pPr>
            <w:r>
              <w:t xml:space="preserve">0.1.0</w:t>
            </w:r>
          </w:p>
        </w:tc>
      </w:tr>
      <w:tr>
        <w:tc>
          <w:tcPr/>
          <w:p>
            <w:pPr>
              <w:pStyle w:val="Compact"/>
              <w:jc w:val="left"/>
            </w:pPr>
            <w:r>
              <w:t xml:space="preserve">quarto R package</w:t>
            </w:r>
          </w:p>
        </w:tc>
        <w:tc>
          <w:tcPr/>
          <w:p>
            <w:pPr>
              <w:pStyle w:val="Compact"/>
              <w:jc w:val="left"/>
            </w:pPr>
            <w:r>
              <w:t xml:space="preserve">1.5.1</w:t>
            </w:r>
          </w:p>
        </w:tc>
      </w:tr>
      <w:tr>
        <w:tc>
          <w:tcPr/>
          <w:p>
            <w:pPr>
              <w:pStyle w:val="Compact"/>
              <w:jc w:val="left"/>
            </w:pPr>
            <w:r>
              <w:t xml:space="preserve">Quarto CLI version</w:t>
            </w:r>
          </w:p>
        </w:tc>
        <w:tc>
          <w:tcPr/>
          <w:p>
            <w:pPr>
              <w:pStyle w:val="Compact"/>
              <w:jc w:val="left"/>
            </w:pPr>
            <w:r>
              <w:t xml:space="preserve">1.9.37</w:t>
            </w:r>
          </w:p>
        </w:tc>
      </w:tr>
      <w:tr>
        <w:tc>
          <w:tcPr/>
          <w:p>
            <w:pPr>
              <w:pStyle w:val="Compact"/>
              <w:jc w:val="left"/>
            </w:pPr>
            <w:r>
              <w:t xml:space="preserve">Platform</w:t>
            </w:r>
          </w:p>
        </w:tc>
        <w:tc>
          <w:tcPr/>
          <w:p>
            <w:pPr>
              <w:pStyle w:val="Compact"/>
              <w:jc w:val="left"/>
            </w:pPr>
            <w:r>
              <w:t xml:space="preserve">x86_64-pc-linux-gnu</w:t>
            </w:r>
          </w:p>
        </w:tc>
      </w:tr>
      <w:tr>
        <w:tc>
          <w:tcPr/>
          <w:p>
            <w:pPr>
              <w:pStyle w:val="Compact"/>
              <w:jc w:val="left"/>
            </w:pPr>
            <w:r>
              <w:t xml:space="preserve">Date</w:t>
            </w:r>
          </w:p>
        </w:tc>
        <w:tc>
          <w:tcPr/>
          <w:p>
            <w:pPr>
              <w:pStyle w:val="Compact"/>
              <w:jc w:val="left"/>
            </w:pPr>
            <w:r>
              <w:t xml:space="preserve">08 May 2026</w:t>
            </w:r>
          </w:p>
        </w:tc>
      </w:tr>
    </w:tbl>
    <w:p>
      <w:r>
        <w:pict>
          <v:rect style="width:0;height:1.5pt" o:hralign="center" o:hrstd="t" o:hr="t"/>
        </w:pict>
      </w:r>
    </w:p>
    <w:p>
      <w:pPr>
        <w:pStyle w:val="FirstParagraph"/>
      </w:pPr>
      <w:r>
        <w:rPr>
          <w:i/>
          <w:iCs/>
        </w:rPr>
        <w:t xml:space="preserve">Report generated by the</w:t>
      </w:r>
      <w:r>
        <w:rPr>
          <w:i/>
          <w:iCs/>
        </w:rPr>
        <w:t xml:space="preserve"> </w:t>
      </w:r>
      <w:r>
        <w:rPr>
          <w:b/>
          <w:bCs/>
          <w:i/>
          <w:iCs/>
        </w:rPr>
        <w:t xml:space="preserve">bayprior</w:t>
      </w:r>
      <w:r>
        <w:rPr>
          <w:i/>
          <w:iCs/>
        </w:rPr>
        <w:t xml:space="preserve"> </w:t>
      </w:r>
      <w:r>
        <w:rPr>
          <w:i/>
          <w:iCs/>
        </w:rPr>
        <w:t xml:space="preserve">R package using</w:t>
      </w:r>
      <w:r>
        <w:rPr>
          <w:i/>
          <w:iCs/>
        </w:rPr>
        <w:t xml:space="preserve"> </w:t>
      </w:r>
      <w:r>
        <w:rPr>
          <w:rStyle w:val="VerbatimChar"/>
          <w:i/>
          <w:iCs/>
        </w:rPr>
        <w:t xml:space="preserve">prior_report()</w:t>
      </w:r>
      <w:r>
        <w:rPr>
          <w:i/>
          <w:iCs/>
        </w:rPr>
        <w:t xml:space="preserve">.</w:t>
      </w:r>
      <w:r>
        <w:rPr>
          <w:i/>
          <w:iCs/>
        </w:rPr>
        <w:t xml:space="preserve"> </w:t>
      </w:r>
      <w:r>
        <w:rPr>
          <w:i/>
          <w:iCs/>
        </w:rPr>
        <w:t xml:space="preserve">Methods follow O’Hagan et al. (2006), Box (1980), Schmidli et al. (2014),</w:t>
      </w:r>
      <w:r>
        <w:rPr>
          <w:i/>
          <w:iCs/>
        </w:rPr>
        <w:t xml:space="preserve"> </w:t>
      </w:r>
      <w:r>
        <w:rPr>
          <w:i/>
          <w:iCs/>
        </w:rPr>
        <w:t xml:space="preserve">Ibrahim &amp; Chen (2000), and the FDA Draft Guidance on Bayesian Methods in</w:t>
      </w:r>
      <w:r>
        <w:rPr>
          <w:i/>
          <w:iCs/>
        </w:rPr>
        <w:t xml:space="preserve"> </w:t>
      </w:r>
      <w:r>
        <w:rPr>
          <w:i/>
          <w:iCs/>
        </w:rPr>
        <w:t xml:space="preserve">Clinical Trials (2026).</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Prior Justification Report</dc:title>
  <dc:creator>Biostatistics</dc:creator>
  <cp:keywords/>
  <dcterms:created xsi:type="dcterms:W3CDTF">2026-05-08T11:10:12Z</dcterms:created>
  <dcterms:modified xsi:type="dcterms:W3CDTF">2026-05-08T11:10:12Z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params">
    <vt:lpwstr/>
  </property>
  <property fmtid="{D5CDD505-2E9C-101B-9397-08002B2CF9AE}" pid="14" name="subtitle">
    <vt:lpwstr>Clinical Trial</vt:lpwstr>
  </property>
  <property fmtid="{D5CDD505-2E9C-101B-9397-08002B2CF9AE}" pid="15" name="toc-title">
    <vt:lpwstr>Table of contents</vt:lpwstr>
  </property>
</Properties>
</file>