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c0152e7591e23d93c3eaf0685e99c58474114b"/>
    <w:p>
      <w:pPr>
        <w:pStyle w:val="Heading1"/>
      </w:pPr>
      <w:r>
        <w:t xml:space="preserve">EXECUTIVE BRIEF – REVOLUT CUSTOMER DATA DISCLOSURE INCIDENT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14 September 2026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Executive Committee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</w:t>
      </w:r>
      <w:r>
        <w:br/>
      </w:r>
      <w:r>
        <w:rPr>
          <w:b/>
          <w:bCs/>
        </w:rPr>
        <w:t xml:space="preserve">Risk Areas:</w:t>
      </w:r>
      <w:r>
        <w:t xml:space="preserve"> </w:t>
      </w:r>
      <w:r>
        <w:t xml:space="preserve">Cyber Risk | Operational Risk | Data Protection | Fraud Risk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Revolut has confirmed that sensitive customer information was disclosed to an unauthorised third party following fraudulent information requests that appeared to originate from a legitimate government agency.</w:t>
      </w:r>
    </w:p>
    <w:p>
      <w:pPr>
        <w:pStyle w:val="BodyText"/>
      </w:pPr>
      <w:r>
        <w:t xml:space="preserve">Importantly,</w:t>
      </w:r>
      <w:r>
        <w:t xml:space="preserve"> </w:t>
      </w:r>
      <w:r>
        <w:rPr>
          <w:b/>
          <w:bCs/>
        </w:rPr>
        <w:t xml:space="preserve">this does not currently appear to have involved a compromise of Revolut’s technology infrastructure</w:t>
      </w:r>
      <w:r>
        <w:t xml:space="preserve">.</w:t>
      </w:r>
    </w:p>
    <w:p>
      <w:pPr>
        <w:pStyle w:val="BodyText"/>
      </w:pPr>
      <w:r>
        <w:t xml:space="preserve">According to Revolut, an unauthorised third party used an email account operating from a legitimate government agency domain to submit fraudulent requests for customer information. Revolut processed the requests believing them to be authentic.</w:t>
      </w:r>
    </w:p>
    <w:p>
      <w:pPr>
        <w:pStyle w:val="BodyText"/>
      </w:pPr>
      <w:r>
        <w:t xml:space="preserve">Revolut describes the incident as a</w:t>
      </w:r>
      <w:r>
        <w:t xml:space="preserve"> </w:t>
      </w:r>
      <w:r>
        <w:rPr>
          <w:b/>
          <w:bCs/>
        </w:rPr>
        <w:t xml:space="preserve">“sophisticated external impersonation scam”</w:t>
      </w:r>
      <w:r>
        <w:t xml:space="preserve"> </w:t>
      </w:r>
      <w:r>
        <w:t xml:space="preserve">and states that only a</w:t>
      </w:r>
      <w:r>
        <w:t xml:space="preserve"> </w:t>
      </w:r>
      <w:r>
        <w:rPr>
          <w:b/>
          <w:bCs/>
        </w:rPr>
        <w:t xml:space="preserve">“very limited”</w:t>
      </w:r>
      <w:r>
        <w:rPr>
          <w:b/>
          <w:bCs/>
        </w:rPr>
        <w:t xml:space="preserve"> </w:t>
      </w:r>
      <w:r>
        <w:rPr>
          <w:b/>
          <w:bCs/>
        </w:rPr>
        <w:t xml:space="preserve">number of customers</w:t>
      </w:r>
      <w:r>
        <w:t xml:space="preserve"> </w:t>
      </w:r>
      <w:r>
        <w:t xml:space="preserve">were affected.</w:t>
      </w:r>
    </w:p>
    <w:p>
      <w:pPr>
        <w:pStyle w:val="BodyText"/>
      </w:pPr>
      <w:r>
        <w:t xml:space="preserve">The company has explicitly stated:</w:t>
      </w:r>
    </w:p>
    <w:p>
      <w:pPr>
        <w:pStyle w:val="BlockText"/>
      </w:pPr>
      <w:r>
        <w:t xml:space="preserve">“Revolut systems and customer funds are unaffected.”</w:t>
      </w:r>
    </w:p>
    <w:p>
      <w:pPr>
        <w:pStyle w:val="FirstParagraph"/>
      </w:pPr>
      <w:r>
        <w:t xml:space="preserve">The significance of the incident therefore extends beyond conventional cyber intrusion. It demonstrates how an attacker may exploit</w:t>
      </w:r>
      <w:r>
        <w:t xml:space="preserve"> </w:t>
      </w:r>
      <w:r>
        <w:rPr>
          <w:b/>
          <w:bCs/>
        </w:rPr>
        <w:t xml:space="preserve">trust in an external organisation and an otherwise legitimate business process</w:t>
      </w:r>
      <w:r>
        <w:t xml:space="preserve"> </w:t>
      </w:r>
      <w:r>
        <w:t xml:space="preserve">to obtain sensitive information without compromising the target organisation’s systems.</w:t>
      </w:r>
    </w:p>
    <w:p>
      <w:pPr>
        <w:pStyle w:val="BodyText"/>
      </w:pPr>
      <w:r>
        <w:rPr>
          <w:b/>
          <w:bCs/>
        </w:rPr>
        <w:t xml:space="preserve">Key Risk message:</w:t>
      </w:r>
      <w:r>
        <w:t xml:space="preserve"> </w:t>
      </w:r>
      <w:r>
        <w:t xml:space="preserve">A trusted communication channel should not automatically imply that the identity, authority or request behind it can also be trusted.</w:t>
      </w:r>
    </w:p>
    <w:p>
      <w:r>
        <w:pict>
          <v:rect style="width:0;height:1.5pt" o:hralign="center" o:hrstd="t" o:hr="t"/>
        </w:pict>
      </w:r>
    </w:p>
    <w:bookmarkEnd w:id="9"/>
    <w:bookmarkStart w:id="10" w:name="what-happened"/>
    <w:p>
      <w:pPr>
        <w:pStyle w:val="Heading2"/>
      </w:pPr>
      <w:r>
        <w:t xml:space="preserve">1. What Happened?</w:t>
      </w:r>
    </w:p>
    <w:p>
      <w:pPr>
        <w:pStyle w:val="FirstParagraph"/>
      </w:pPr>
      <w:r>
        <w:t xml:space="preserve">Based on information confirmed by Revolut, the attack appears to have followed the following sequence:</w:t>
      </w:r>
    </w:p>
    <w:p>
      <w:pPr>
        <w:pStyle w:val="BodyText"/>
      </w:pPr>
      <w:r>
        <w:rPr>
          <w:b/>
          <w:bCs/>
        </w:rPr>
        <w:t xml:space="preserve">Unauthorised third party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Access/use of a legitimate government agency email domain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Fraudulent request for customer information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Request appears legitimate to Revolut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Customer information disclosed through an authorised process</w:t>
      </w:r>
    </w:p>
    <w:p>
      <w:pPr>
        <w:pStyle w:val="BodyText"/>
      </w:pPr>
      <w:r>
        <w:t xml:space="preserve">The important distinction is that the attacker does not appear to have breached Revolut’s systems to retrieve the information directly.</w:t>
      </w:r>
    </w:p>
    <w:p>
      <w:pPr>
        <w:pStyle w:val="BodyText"/>
      </w:pPr>
      <w:r>
        <w:t xml:space="preserve">Instead, the attacker appears to have</w:t>
      </w:r>
      <w:r>
        <w:t xml:space="preserve"> </w:t>
      </w:r>
      <w:r>
        <w:rPr>
          <w:b/>
          <w:bCs/>
        </w:rPr>
        <w:t xml:space="preserve">manipulated the process through which Revolut legitimately discloses information to competent authorities</w:t>
      </w:r>
      <w:r>
        <w:t xml:space="preserve">.</w:t>
      </w:r>
    </w:p>
    <w:p>
      <w:pPr>
        <w:pStyle w:val="BodyText"/>
      </w:pPr>
      <w:r>
        <w:t xml:space="preserve">The precise government agency involved has not been publicly identified, and it remains unclear how the unauthorised email account was established or compromised.</w:t>
      </w:r>
    </w:p>
    <w:p>
      <w:r>
        <w:pict>
          <v:rect style="width:0;height:1.5pt" o:hralign="center" o:hrstd="t" o:hr="t"/>
        </w:pict>
      </w:r>
    </w:p>
    <w:bookmarkEnd w:id="10"/>
    <w:bookmarkStart w:id="11" w:name="what-revolut-has-officially-said"/>
    <w:p>
      <w:pPr>
        <w:pStyle w:val="Heading2"/>
      </w:pPr>
      <w:r>
        <w:t xml:space="preserve">2. What Revolut Has Officially Said</w:t>
      </w:r>
    </w:p>
    <w:p>
      <w:pPr>
        <w:pStyle w:val="FirstParagraph"/>
      </w:pPr>
      <w:r>
        <w:t xml:space="preserve">As of 14 September 2026, Revolut does</w:t>
      </w:r>
      <w:r>
        <w:t xml:space="preserve"> </w:t>
      </w:r>
      <w:r>
        <w:rPr>
          <w:b/>
          <w:bCs/>
        </w:rPr>
        <w:t xml:space="preserve">not appear to have published a dedicated press release on its public News &amp; Media site</w:t>
      </w:r>
      <w:r>
        <w:t xml:space="preserve"> </w:t>
      </w:r>
      <w:r>
        <w:t xml:space="preserve">concerning the incident.</w:t>
      </w:r>
    </w:p>
    <w:p>
      <w:pPr>
        <w:pStyle w:val="BodyText"/>
      </w:pPr>
      <w:r>
        <w:t xml:space="preserve">However, Revolut has formally confirmed the incident through statements provided by its spokesperson to multiple media organisations and through direct notifications to affected customers.</w:t>
      </w:r>
    </w:p>
    <w:p>
      <w:pPr>
        <w:pStyle w:val="BodyText"/>
      </w:pPr>
      <w:r>
        <w:t xml:space="preserve">Revolut’s stated position is that:</w:t>
      </w:r>
    </w:p>
    <w:p>
      <w:pPr>
        <w:pStyle w:val="Compact"/>
        <w:numPr>
          <w:ilvl w:val="0"/>
          <w:numId w:val="1001"/>
        </w:numPr>
      </w:pPr>
      <w:r>
        <w:t xml:space="preserve">the incident was a</w:t>
      </w:r>
      <w:r>
        <w:t xml:space="preserve"> </w:t>
      </w:r>
      <w:r>
        <w:rPr>
          <w:b/>
          <w:bCs/>
        </w:rPr>
        <w:t xml:space="preserve">“sophisticated external impersonation scam”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an unauthorised third party used a</w:t>
      </w:r>
      <w:r>
        <w:t xml:space="preserve"> </w:t>
      </w:r>
      <w:r>
        <w:rPr>
          <w:b/>
          <w:bCs/>
        </w:rPr>
        <w:t xml:space="preserve">legitimate government agency domain email</w:t>
      </w:r>
      <w:r>
        <w:t xml:space="preserve"> </w:t>
      </w:r>
      <w:r>
        <w:t xml:space="preserve">to submit fraudulent information requests;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very limited number of customers</w:t>
      </w:r>
      <w:r>
        <w:t xml:space="preserve"> </w:t>
      </w:r>
      <w:r>
        <w:t xml:space="preserve">were affected;</w:t>
      </w:r>
    </w:p>
    <w:p>
      <w:pPr>
        <w:pStyle w:val="Compact"/>
        <w:numPr>
          <w:ilvl w:val="0"/>
          <w:numId w:val="1001"/>
        </w:numPr>
      </w:pPr>
      <w:r>
        <w:t xml:space="preserve">affected customers have been contacted directly;</w:t>
      </w:r>
    </w:p>
    <w:p>
      <w:pPr>
        <w:pStyle w:val="Compact"/>
        <w:numPr>
          <w:ilvl w:val="0"/>
          <w:numId w:val="1001"/>
        </w:numPr>
      </w:pPr>
      <w:r>
        <w:t xml:space="preserve">the offending address was blocked once the incident was identified;</w:t>
      </w:r>
    </w:p>
    <w:p>
      <w:pPr>
        <w:pStyle w:val="Compact"/>
        <w:numPr>
          <w:ilvl w:val="0"/>
          <w:numId w:val="1001"/>
        </w:numPr>
      </w:pPr>
      <w:r>
        <w:t xml:space="preserve">the relevant government agency was alerted;</w:t>
      </w:r>
    </w:p>
    <w:p>
      <w:pPr>
        <w:pStyle w:val="Compact"/>
        <w:numPr>
          <w:ilvl w:val="0"/>
          <w:numId w:val="1001"/>
        </w:numPr>
      </w:pPr>
      <w:r>
        <w:t xml:space="preserve">law enforcement, data protection authorities and financial regulators were notified;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Revolut systems and customer funds were unaffected</w:t>
      </w:r>
      <w:r>
        <w:t xml:space="preserve">.</w:t>
      </w:r>
    </w:p>
    <w:p>
      <w:pPr>
        <w:pStyle w:val="FirstParagraph"/>
      </w:pPr>
      <w:r>
        <w:t xml:space="preserve">Revolut has not publicly disclosed the exact number of affected customers, the government agency involved, or whether the incident was limited to a particular jurisdiction.</w:t>
      </w:r>
    </w:p>
    <w:p>
      <w:r>
        <w:pict>
          <v:rect style="width:0;height:1.5pt" o:hralign="center" o:hrstd="t" o:hr="t"/>
        </w:pict>
      </w:r>
    </w:p>
    <w:bookmarkEnd w:id="11"/>
    <w:bookmarkStart w:id="12" w:name="potential-data-exposure"/>
    <w:p>
      <w:pPr>
        <w:pStyle w:val="Heading2"/>
      </w:pPr>
      <w:r>
        <w:t xml:space="preserve">3. Potential Data Exposure</w:t>
      </w:r>
    </w:p>
    <w:p>
      <w:pPr>
        <w:pStyle w:val="FirstParagraph"/>
      </w:pPr>
      <w:r>
        <w:t xml:space="preserve">Customer notifications reported by the media indicate that information potentially disclosed included:</w:t>
      </w:r>
    </w:p>
    <w:p>
      <w:pPr>
        <w:pStyle w:val="BodyText"/>
      </w:pPr>
      <w:r>
        <w:rPr>
          <w:b/>
          <w:bCs/>
        </w:rPr>
        <w:t xml:space="preserve">Identity data</w:t>
      </w:r>
      <w:r>
        <w:br/>
      </w:r>
      <w:r>
        <w:t xml:space="preserve">Names, dates of birth, postal addresses, email addresses and telephone numbers.</w:t>
      </w:r>
    </w:p>
    <w:p>
      <w:pPr>
        <w:pStyle w:val="BodyText"/>
      </w:pPr>
      <w:r>
        <w:rPr>
          <w:b/>
          <w:bCs/>
        </w:rPr>
        <w:t xml:space="preserve">Identity verification / KYC data</w:t>
      </w:r>
      <w:r>
        <w:br/>
      </w:r>
      <w:r>
        <w:t xml:space="preserve">Copies of passports and driving licences, and potentially identity-verification selfies.</w:t>
      </w:r>
    </w:p>
    <w:p>
      <w:pPr>
        <w:pStyle w:val="BodyText"/>
      </w:pPr>
      <w:r>
        <w:rPr>
          <w:b/>
          <w:bCs/>
        </w:rPr>
        <w:t xml:space="preserve">Banking information</w:t>
      </w:r>
      <w:r>
        <w:br/>
      </w:r>
      <w:r>
        <w:t xml:space="preserve">Account statements, IBAN information and withdrawal records.</w:t>
      </w:r>
    </w:p>
    <w:p>
      <w:pPr>
        <w:pStyle w:val="BodyText"/>
      </w:pPr>
      <w:r>
        <w:rPr>
          <w:b/>
          <w:bCs/>
        </w:rPr>
        <w:t xml:space="preserve">Transaction information</w:t>
      </w:r>
      <w:r>
        <w:br/>
      </w:r>
      <w:r>
        <w:t xml:space="preserve">Transaction histories, potentially including Bitcoin transaction activity for some customers.</w:t>
      </w:r>
    </w:p>
    <w:p>
      <w:pPr>
        <w:pStyle w:val="BodyText"/>
      </w:pPr>
      <w:r>
        <w:t xml:space="preserve">This combination is particularly sensitive because it potentially brings together</w:t>
      </w:r>
      <w:r>
        <w:t xml:space="preserve"> </w:t>
      </w:r>
      <w:r>
        <w:rPr>
          <w:b/>
          <w:bCs/>
        </w:rPr>
        <w:t xml:space="preserve">identity + KYC + contact + financial behaviour data</w:t>
      </w:r>
      <w:r>
        <w:t xml:space="preserve">.</w:t>
      </w:r>
    </w:p>
    <w:p>
      <w:pPr>
        <w:pStyle w:val="BodyText"/>
      </w:pPr>
      <w:r>
        <w:t xml:space="preserve">Even where account credentials or funds have not been compromised, such information could enable highly credible subsequent social-engineering, impersonation, identity fraud or targeted fraud attempts.</w:t>
      </w:r>
    </w:p>
    <w:p>
      <w:r>
        <w:pict>
          <v:rect style="width:0;height:1.5pt" o:hralign="center" o:hrstd="t" o:hr="t"/>
        </w:pict>
      </w:r>
    </w:p>
    <w:bookmarkEnd w:id="12"/>
    <w:bookmarkStart w:id="14" w:name="why-this-incident-matters"/>
    <w:p>
      <w:pPr>
        <w:pStyle w:val="Heading2"/>
      </w:pPr>
      <w:r>
        <w:t xml:space="preserve">4. Why This Incident Matters</w:t>
      </w:r>
    </w:p>
    <w:p>
      <w:pPr>
        <w:pStyle w:val="FirstParagraph"/>
      </w:pPr>
      <w:r>
        <w:t xml:space="preserve">The incident highlights a risk scenario that may bypass many traditional cybersecurity controls.</w:t>
      </w:r>
    </w:p>
    <w:bookmarkStart w:id="13" w:name="Xec577af69595116704460123ee7a90650d538d2"/>
    <w:p>
      <w:pPr>
        <w:pStyle w:val="Heading3"/>
      </w:pPr>
      <w:r>
        <w:t xml:space="preserve">The trusted channel became part of the attack path.</w:t>
      </w:r>
    </w:p>
    <w:p>
      <w:pPr>
        <w:pStyle w:val="FirstParagraph"/>
      </w:pPr>
      <w:r>
        <w:t xml:space="preserve">An email originating from an authentic government domain does not necessarily establish that:</w:t>
      </w:r>
    </w:p>
    <w:p>
      <w:pPr>
        <w:pStyle w:val="BodyText"/>
      </w:pPr>
      <w:r>
        <w:rPr>
          <w:b/>
          <w:bCs/>
        </w:rPr>
        <w:t xml:space="preserve">the sender is legitimate;</w:t>
      </w:r>
      <w:r>
        <w:br/>
      </w:r>
      <w:r>
        <w:rPr>
          <w:b/>
          <w:bCs/>
        </w:rPr>
        <w:t xml:space="preserve">the individual is authorised;</w:t>
      </w:r>
      <w:r>
        <w:br/>
      </w:r>
      <w:r>
        <w:rPr>
          <w:b/>
          <w:bCs/>
        </w:rPr>
        <w:t xml:space="preserve">the request itself is legitimate; or</w:t>
      </w:r>
      <w:r>
        <w:br/>
      </w:r>
      <w:r>
        <w:rPr>
          <w:b/>
          <w:bCs/>
        </w:rPr>
        <w:t xml:space="preserve">the requested disclosure is appropriate.</w:t>
      </w:r>
    </w:p>
    <w:p>
      <w:pPr>
        <w:pStyle w:val="BodyText"/>
      </w:pPr>
      <w:r>
        <w:t xml:space="preserve">This creates an important distinction between:</w:t>
      </w:r>
    </w:p>
    <w:p>
      <w:pPr>
        <w:pStyle w:val="BodyText"/>
      </w:pPr>
      <w:r>
        <w:rPr>
          <w:b/>
          <w:bCs/>
        </w:rPr>
        <w:t xml:space="preserve">Authentication of the communication channel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Authentication of the request and authority behind it.</w:t>
      </w:r>
    </w:p>
    <w:p>
      <w:pPr>
        <w:pStyle w:val="BodyText"/>
      </w:pPr>
      <w:r>
        <w:t xml:space="preserve">For financial institutions, the issue is particularly relevant to processes handling requests from law enforcement, courts, regulators, government agencies and other trusted third parties.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risk-implications"/>
    <w:p>
      <w:pPr>
        <w:pStyle w:val="Heading2"/>
      </w:pPr>
      <w:r>
        <w:t xml:space="preserve">5. Risk Implications</w:t>
      </w:r>
    </w:p>
    <w:bookmarkStart w:id="15" w:name="cyber-information-security"/>
    <w:p>
      <w:pPr>
        <w:pStyle w:val="Heading3"/>
      </w:pPr>
      <w:r>
        <w:t xml:space="preserve">Cyber / Information Security</w:t>
      </w:r>
    </w:p>
    <w:p>
      <w:pPr>
        <w:pStyle w:val="FirstParagraph"/>
      </w:pPr>
      <w:r>
        <w:t xml:space="preserve">Highly sensitive customer information was disclosed to an unauthorised party despite there being no currently reported compromise of Revolut’s infrastructure.</w:t>
      </w:r>
    </w:p>
    <w:bookmarkEnd w:id="15"/>
    <w:bookmarkStart w:id="16" w:name="operational-risk"/>
    <w:p>
      <w:pPr>
        <w:pStyle w:val="Heading3"/>
      </w:pPr>
      <w:r>
        <w:t xml:space="preserve">Operational Risk</w:t>
      </w:r>
    </w:p>
    <w:p>
      <w:pPr>
        <w:pStyle w:val="FirstParagraph"/>
      </w:pPr>
      <w:r>
        <w:t xml:space="preserve">A legitimate operational process appears to have been manipulated into producing an unauthorised outcome.</w:t>
      </w:r>
    </w:p>
    <w:p>
      <w:pPr>
        <w:pStyle w:val="BodyText"/>
      </w:pPr>
      <w:r>
        <w:t xml:space="preserve">The incident therefore demonstrates that</w:t>
      </w:r>
      <w:r>
        <w:t xml:space="preserve"> </w:t>
      </w:r>
      <w:r>
        <w:rPr>
          <w:b/>
          <w:bCs/>
        </w:rPr>
        <w:t xml:space="preserve">an authorised process can itself become an attack vector</w:t>
      </w:r>
      <w:r>
        <w:t xml:space="preserve">.</w:t>
      </w:r>
    </w:p>
    <w:bookmarkEnd w:id="16"/>
    <w:bookmarkStart w:id="17" w:name="data-protection-regulatory-risk"/>
    <w:p>
      <w:pPr>
        <w:pStyle w:val="Heading3"/>
      </w:pPr>
      <w:r>
        <w:t xml:space="preserve">Data Protection / Regulatory Risk</w:t>
      </w:r>
    </w:p>
    <w:p>
      <w:pPr>
        <w:pStyle w:val="FirstParagraph"/>
      </w:pPr>
      <w:r>
        <w:t xml:space="preserve">The nature of the information potentially exposed — particularly KYC documents, financial records and personal information — creates significant confidentiality and privacy implications.</w:t>
      </w:r>
    </w:p>
    <w:bookmarkEnd w:id="17"/>
    <w:bookmarkStart w:id="18" w:name="fraud-risk"/>
    <w:p>
      <w:pPr>
        <w:pStyle w:val="Heading3"/>
      </w:pPr>
      <w:r>
        <w:t xml:space="preserve">Fraud Risk</w:t>
      </w:r>
    </w:p>
    <w:p>
      <w:pPr>
        <w:pStyle w:val="FirstParagraph"/>
      </w:pPr>
      <w:r>
        <w:t xml:space="preserve">The combination of identity, contact and financial information could enable sophisticated downstream social-engineering and impersonation attacks against affected customers.</w:t>
      </w:r>
    </w:p>
    <w:bookmarkEnd w:id="18"/>
    <w:bookmarkStart w:id="19" w:name="third-party-ecosystem-risk"/>
    <w:p>
      <w:pPr>
        <w:pStyle w:val="Heading3"/>
      </w:pPr>
      <w:r>
        <w:t xml:space="preserve">Third-Party / Ecosystem Risk</w:t>
      </w:r>
    </w:p>
    <w:p>
      <w:pPr>
        <w:pStyle w:val="FirstParagraph"/>
      </w:pPr>
      <w:r>
        <w:t xml:space="preserve">Perhaps most importantly, the incident demonstrates that</w:t>
      </w:r>
      <w:r>
        <w:t xml:space="preserve"> </w:t>
      </w:r>
      <w:r>
        <w:rPr>
          <w:b/>
          <w:bCs/>
        </w:rPr>
        <w:t xml:space="preserve">the security posture of trusted external organisations can directly influence the effectiveness of an institution’s own controls</w:t>
      </w:r>
      <w:r>
        <w:t xml:space="preserve">.</w:t>
      </w:r>
    </w:p>
    <w:p>
      <w:pPr>
        <w:pStyle w:val="BodyText"/>
      </w:pPr>
      <w:r>
        <w:t xml:space="preserve">A bank may have strong internal controls while still being exposed through the compromised identity infrastructure of an organisation it trusts.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key-question-for-our-organisation"/>
    <w:p>
      <w:pPr>
        <w:pStyle w:val="Heading2"/>
      </w:pPr>
      <w:r>
        <w:t xml:space="preserve">6. Key Question for Our Organisation</w:t>
      </w:r>
    </w:p>
    <w:p>
      <w:pPr>
        <w:pStyle w:val="FirstParagraph"/>
      </w:pPr>
      <w:r>
        <w:t xml:space="preserve">The incident suggests one immediate control question:</w:t>
      </w:r>
    </w:p>
    <w:bookmarkStart w:id="21" w:name="Xa9978b6a6aa5f0af1c9bd28a15abed8bc2a2547"/>
    <w:p>
      <w:pPr>
        <w:pStyle w:val="Heading3"/>
      </w:pPr>
      <w:r>
        <w:rPr>
          <w:b/>
          <w:bCs/>
        </w:rPr>
        <w:t xml:space="preserve">Do we authenticate the request, or only the channel through which the request arrives?</w:t>
      </w:r>
    </w:p>
    <w:p>
      <w:pPr>
        <w:pStyle w:val="FirstParagraph"/>
      </w:pPr>
      <w:r>
        <w:t xml:space="preserve">A targeted review could therefore assess how requests for sensitive information from trusted external organisations are validated, particularly where they originate from:</w:t>
      </w:r>
    </w:p>
    <w:p>
      <w:pPr>
        <w:pStyle w:val="BodyText"/>
      </w:pPr>
      <w:r>
        <w:rPr>
          <w:b/>
          <w:bCs/>
        </w:rPr>
        <w:t xml:space="preserve">Law enforcement | Government agencies | Courts | Regulators | Other trusted third parties</w:t>
      </w:r>
    </w:p>
    <w:p>
      <w:pPr>
        <w:pStyle w:val="BodyText"/>
      </w:pPr>
      <w:r>
        <w:t xml:space="preserve">The review should determine whether sensitive disclosures require independent verification of:</w:t>
      </w:r>
    </w:p>
    <w:p>
      <w:pPr>
        <w:pStyle w:val="BodyText"/>
      </w:pPr>
      <w:r>
        <w:rPr>
          <w:b/>
          <w:bCs/>
        </w:rPr>
        <w:t xml:space="preserve">Identity → Authority → Request → Scope → Approval</w:t>
      </w:r>
    </w:p>
    <w:p>
      <w:pPr>
        <w:pStyle w:val="BodyText"/>
      </w:pPr>
      <w:r>
        <w:t xml:space="preserve">rather than relying primarily on the authenticity of the originating email/domain.</w:t>
      </w:r>
    </w:p>
    <w:p>
      <w:pPr>
        <w:pStyle w:val="BodyText"/>
      </w:pPr>
      <w:r>
        <w:t xml:space="preserve">Relevant controls could include independent out-of-band verification, callback procedures, four-eyes approval, verification against established authority contact directories, anomaly detection and escalation for unusual or high-risk requests.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executive-takeaway"/>
    <w:p>
      <w:pPr>
        <w:pStyle w:val="Heading2"/>
      </w:pPr>
      <w:r>
        <w:t xml:space="preserve">Executive Takeaway</w:t>
      </w:r>
    </w:p>
    <w:p>
      <w:pPr>
        <w:pStyle w:val="FirstParagraph"/>
      </w:pPr>
      <w:r>
        <w:rPr>
          <w:b/>
          <w:bCs/>
        </w:rPr>
        <w:t xml:space="preserve">This was not necessarily a failure to keep an attacker out. It appears to have been a failure to distinguish a malicious request from a legitimate one arriving through a trusted channel.</w:t>
      </w:r>
    </w:p>
    <w:p>
      <w:pPr>
        <w:pStyle w:val="BodyText"/>
      </w:pPr>
      <w:r>
        <w:t xml:space="preserve">The incident reinforces an important principle for financial institutions:</w:t>
      </w:r>
    </w:p>
    <w:bookmarkStart w:id="23" w:name="trusted-source-trusted-request."/>
    <w:p>
      <w:pPr>
        <w:pStyle w:val="Heading3"/>
      </w:pPr>
      <w:r>
        <w:rPr>
          <w:b/>
          <w:bCs/>
        </w:rPr>
        <w:t xml:space="preserve">Trusted source ≠ trusted request.</w:t>
      </w:r>
    </w:p>
    <w:p>
      <w:pPr>
        <w:pStyle w:val="FirstParagraph"/>
      </w:pPr>
      <w:r>
        <w:t xml:space="preserve">The identity of the third party, authenticity of the communication channel, authority of the requester and legitimacy of the requested action should be considered separately.</w:t>
      </w:r>
    </w:p>
    <w:p>
      <w:pPr>
        <w:pStyle w:val="BodyText"/>
      </w:pPr>
      <w:r>
        <w:t xml:space="preserve">For Risk Management, this incident provides a useful opportunity to test whether existing controls remain effective when</w:t>
      </w:r>
      <w:r>
        <w:t xml:space="preserve"> </w:t>
      </w:r>
      <w:r>
        <w:rPr>
          <w:b/>
          <w:bCs/>
        </w:rPr>
        <w:t xml:space="preserve">the trusted third party itself becomes part of the attack path</w:t>
      </w:r>
      <w:r>
        <w:t xml:space="preserve">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