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3g2riujnbae" w:id="0"/>
      <w:bookmarkEnd w:id="0"/>
      <w:r w:rsidDel="00000000" w:rsidR="00000000" w:rsidRPr="00000000">
        <w:rPr>
          <w:rtl w:val="0"/>
        </w:rPr>
        <w:t xml:space="preserve">Comparative Analysis: Tier 1 Financial Institutions in the Quantum and PQC Era</w:t>
      </w:r>
    </w:p>
    <w:p w:rsidR="00000000" w:rsidDel="00000000" w:rsidP="00000000" w:rsidRDefault="00000000" w:rsidRPr="00000000" w14:paraId="00000002">
      <w:pPr>
        <w:pStyle w:val="Heading5"/>
        <w:rPr/>
      </w:pPr>
      <w:bookmarkStart w:colFirst="0" w:colLast="0" w:name="_oyy26cwx7o25" w:id="1"/>
      <w:bookmarkEnd w:id="1"/>
      <w:r w:rsidDel="00000000" w:rsidR="00000000" w:rsidRPr="00000000">
        <w:rPr>
          <w:rtl w:val="0"/>
        </w:rPr>
        <w:t xml:space="preserve">1. The Great Pivot: Quantum Physics as a P&amp;L Catalyst</w:t>
      </w:r>
    </w:p>
    <w:p w:rsidR="00000000" w:rsidDel="00000000" w:rsidP="00000000" w:rsidRDefault="00000000" w:rsidRPr="00000000" w14:paraId="00000003">
      <w:pPr>
        <w:rPr/>
      </w:pPr>
      <w:r w:rsidDel="00000000" w:rsidR="00000000" w:rsidRPr="00000000">
        <w:rPr>
          <w:rtl w:val="0"/>
        </w:rPr>
        <w:t xml:space="preserve">As of February 2026, the strategic window for "exploring" quantum technology has slammed shut. What was once an innovation "cool factor" handled by R&amp;D labs is now a critical pillar of the bank’s Profit and Loss (P&amp;L) statement. This "Hard Pivot" represents a transition from subatomic curiosity to a mandate for capital efficiency and institutional survival.In the classical era, algorithmic trading was a war of attrition fought over fractions of a basis point. Today, that model is obsolete. The catalyst for this industry-wide awakening was the September 2025 HSBC/IBM benchmark, which demonstrated a  </w:t>
      </w:r>
      <w:r w:rsidDel="00000000" w:rsidR="00000000" w:rsidRPr="00000000">
        <w:rPr>
          <w:b w:val="1"/>
          <w:bCs w:val="1"/>
          <w:rtl w:val="0"/>
        </w:rPr>
        <w:t xml:space="preserve">34% improvement</w:t>
      </w:r>
      <w:r w:rsidDel="00000000" w:rsidR="00000000" w:rsidRPr="00000000">
        <w:rPr>
          <w:rtl w:val="0"/>
        </w:rPr>
        <w:t xml:space="preserve">  in predicting bond trading fill probabilities in Over-the-Counter (OTC) markets. For a Tier 1 institution, a 34% edge in illiquid, "messy" asset classes translates into gains that are orders of magnitude beyond classical limits. We are no longer chasing marginal gains; we are witnessing a fundamental restructuring of the competitive landscape where quantum integration is the primary driver of Return on Equity (ROE).</w:t>
      </w:r>
    </w:p>
    <w:p w:rsidR="00000000" w:rsidDel="00000000" w:rsidP="00000000" w:rsidRDefault="00000000" w:rsidRPr="00000000" w14:paraId="00000004">
      <w:pPr>
        <w:pStyle w:val="Heading5"/>
        <w:rPr/>
      </w:pPr>
      <w:bookmarkStart w:colFirst="0" w:colLast="0" w:name="_aqtgu7c7ugqw" w:id="2"/>
      <w:bookmarkEnd w:id="2"/>
      <w:r w:rsidDel="00000000" w:rsidR="00000000" w:rsidRPr="00000000">
        <w:rPr>
          <w:rtl w:val="0"/>
        </w:rPr>
        <w:t xml:space="preserve">2. Offensive Capabilities: Quantum Advantage in Trading and Modeling</w:t>
      </w:r>
    </w:p>
    <w:p w:rsidR="00000000" w:rsidDel="00000000" w:rsidP="00000000" w:rsidRDefault="00000000" w:rsidRPr="00000000" w14:paraId="00000005">
      <w:pPr>
        <w:rPr/>
      </w:pPr>
      <w:r w:rsidDel="00000000" w:rsidR="00000000" w:rsidRPr="00000000">
        <w:rPr>
          <w:rtl w:val="0"/>
        </w:rPr>
        <w:t xml:space="preserve">Forward-leaning institutions have moved beyond treating quantum as a standalone experiment, instead deploying it as an "AI Co-Processor." This "turbocharger" for neural networks allows our models to break through the thermal limits and diminishing returns of traditional GPU-heavy data centers by projecting chaotic data into high-dimensional Hilbert space.</w:t>
      </w:r>
    </w:p>
    <w:p w:rsidR="00000000" w:rsidDel="00000000" w:rsidP="00000000" w:rsidRDefault="00000000" w:rsidRPr="00000000" w14:paraId="00000006">
      <w:pPr>
        <w:pStyle w:val="Heading6"/>
        <w:rPr/>
      </w:pPr>
      <w:bookmarkStart w:colFirst="0" w:colLast="0" w:name="_i9dbpznfrz79" w:id="3"/>
      <w:bookmarkEnd w:id="3"/>
      <w:r w:rsidDel="00000000" w:rsidR="00000000" w:rsidRPr="00000000">
        <w:rPr>
          <w:rtl w:val="0"/>
        </w:rPr>
        <w:t xml:space="preserve">Comparative Analysis: Strategic Quantum Integration (Feb 2026)</w:t>
      </w:r>
    </w:p>
    <w:p w:rsidR="00000000" w:rsidDel="00000000" w:rsidP="00000000" w:rsidRDefault="00000000" w:rsidRPr="00000000" w14:paraId="00000007">
      <w:pPr>
        <w:rPr/>
      </w:pPr>
      <w:r w:rsidDel="00000000" w:rsidR="00000000" w:rsidRPr="00000000">
        <w:rPr>
          <w:rtl w:val="0"/>
        </w:rPr>
        <w:t xml:space="preserve">Institution/Entity,Strategic Action,Quantified Impact/Advantage</w:t>
      </w:r>
    </w:p>
    <w:p w:rsidR="00000000" w:rsidDel="00000000" w:rsidP="00000000" w:rsidRDefault="00000000" w:rsidRPr="00000000" w14:paraId="00000008">
      <w:pPr>
        <w:rPr/>
      </w:pPr>
      <w:r w:rsidDel="00000000" w:rsidR="00000000" w:rsidRPr="00000000">
        <w:rPr>
          <w:rtl w:val="0"/>
        </w:rPr>
        <w:t xml:space="preserve">HSBC,Integration of IBM quantum solutions for OTC fill probability analysis.,34% improvement  in bond trading fill predictions; massive disruption of OTC trading economics.</w:t>
      </w:r>
    </w:p>
    <w:p w:rsidR="00000000" w:rsidDel="00000000" w:rsidP="00000000" w:rsidRDefault="00000000" w:rsidRPr="00000000" w14:paraId="00000009">
      <w:pPr>
        <w:rPr/>
      </w:pPr>
      <w:r w:rsidDel="00000000" w:rsidR="00000000" w:rsidRPr="00000000">
        <w:rPr>
          <w:rtl w:val="0"/>
        </w:rPr>
        <w:t xml:space="preserve">BNP Paribas,"Deployment of ""Quantum Feature Maps"" to identify hidden market signals.","Uses the  ""uncrumpled paper"" analogy : projecting chaotic, overlapping data points into high-dimensional space to reveal signals classical AI cannot perceive."</w:t>
      </w:r>
    </w:p>
    <w:p w:rsidR="00000000" w:rsidDel="00000000" w:rsidP="00000000" w:rsidRDefault="00000000" w:rsidRPr="00000000" w14:paraId="0000000A">
      <w:pPr>
        <w:rPr/>
      </w:pPr>
      <w:r w:rsidDel="00000000" w:rsidR="00000000" w:rsidRPr="00000000">
        <w:rPr>
          <w:rtl w:val="0"/>
        </w:rPr>
        <w:t xml:space="preserve">General Tier 1,Combinatorial Optimization for massive portfolio balancing.,"Solving for the absolute ""perfect"" balance across  10,000+ assets in minutes ; replaces ""overnight"" stale modeling."</w:t>
      </w:r>
    </w:p>
    <w:p w:rsidR="00000000" w:rsidDel="00000000" w:rsidP="00000000" w:rsidRDefault="00000000" w:rsidRPr="00000000" w14:paraId="0000000B">
      <w:pPr>
        <w:rPr/>
      </w:pPr>
      <w:r w:rsidDel="00000000" w:rsidR="00000000" w:rsidRPr="00000000">
        <w:rPr>
          <w:b w:val="1"/>
          <w:bCs w:val="1"/>
          <w:rtl w:val="0"/>
        </w:rPr>
        <w:t xml:space="preserve">Analytical Transformation: The "Found Money" Mandate</w:t>
      </w:r>
      <w:r w:rsidDel="00000000" w:rsidR="00000000" w:rsidRPr="00000000">
        <w:rPr>
          <w:rtl w:val="0"/>
        </w:rPr>
        <w:t xml:space="preserve">  These offensive advancements are not just technical victories; they are balance sheet optimizations. By drastically reducing error margins in risk modeling, banks can finally deploy the "found money"—billions in liquidity previously trapped in defensive buffer zones to cover the inaccuracies of heuristic-based classical math. Reducing these margins directly inflates capital efficiency and ROE, but these gains are an illusion if the institution’s underlying cryptographic foundation remains a liability.</w:t>
      </w:r>
    </w:p>
    <w:p w:rsidR="00000000" w:rsidDel="00000000" w:rsidP="00000000" w:rsidRDefault="00000000" w:rsidRPr="00000000" w14:paraId="0000000C">
      <w:pPr>
        <w:pStyle w:val="Heading5"/>
        <w:rPr/>
      </w:pPr>
      <w:bookmarkStart w:colFirst="0" w:colLast="0" w:name="_2iz3x5p4ky0j" w:id="4"/>
      <w:bookmarkEnd w:id="4"/>
      <w:r w:rsidDel="00000000" w:rsidR="00000000" w:rsidRPr="00000000">
        <w:rPr>
          <w:rtl w:val="0"/>
        </w:rPr>
        <w:t xml:space="preserve">3. Defensive Posture: PQC Modernization and the Cryptographic Moat</w:t>
      </w:r>
    </w:p>
    <w:p w:rsidR="00000000" w:rsidDel="00000000" w:rsidP="00000000" w:rsidRDefault="00000000" w:rsidRPr="00000000" w14:paraId="0000000D">
      <w:pPr>
        <w:rPr/>
      </w:pPr>
      <w:r w:rsidDel="00000000" w:rsidR="00000000" w:rsidRPr="00000000">
        <w:rPr>
          <w:rtl w:val="0"/>
        </w:rPr>
        <w:t xml:space="preserve">The "Harvest Now, Decrypt Later" strategy employed by global adversaries has effectively turned current encrypted data into a "liability on the balance sheet." Sensitive merger strategies and high-net-worth client data are currently being intercepted and stored, essentially making them "pending public release." To protect the offensive trading engine, Tier 1 firms must treat Post-Quantum Cryptography (PQC) as a strategic moat rather than a compliance checkbox.</w:t>
      </w:r>
    </w:p>
    <w:p w:rsidR="00000000" w:rsidDel="00000000" w:rsidP="00000000" w:rsidRDefault="00000000" w:rsidRPr="00000000" w14:paraId="0000000E">
      <w:pPr>
        <w:pStyle w:val="Heading6"/>
        <w:rPr/>
      </w:pPr>
      <w:bookmarkStart w:colFirst="0" w:colLast="0" w:name="_p6xud1fz2y62" w:id="5"/>
      <w:bookmarkEnd w:id="5"/>
      <w:r w:rsidDel="00000000" w:rsidR="00000000" w:rsidRPr="00000000">
        <w:rPr>
          <w:rtl w:val="0"/>
        </w:rPr>
        <w:t xml:space="preserve">JPMorganChase (JPMC): The Compatibility Moat</w:t>
      </w:r>
    </w:p>
    <w:p w:rsidR="00000000" w:rsidDel="00000000" w:rsidP="00000000" w:rsidRDefault="00000000" w:rsidRPr="00000000" w14:paraId="0000000F">
      <w:pPr>
        <w:rPr/>
      </w:pPr>
      <w:r w:rsidDel="00000000" w:rsidR="00000000" w:rsidRPr="00000000">
        <w:rPr>
          <w:rtl w:val="0"/>
        </w:rPr>
        <w:t xml:space="preserve">JPMC has established a defensive lead through its "Quantum-Safe Threshold Signatures," utilizing Multi-Party Computation (MPC).</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Threshold ML-DSA Scheme:</w:t>
      </w:r>
      <w:r w:rsidDel="00000000" w:rsidR="00000000" w:rsidRPr="00000000">
        <w:rPr>
          <w:rtl w:val="0"/>
        </w:rPr>
        <w:t xml:space="preserve">  Using the "Quantum Dice" analogy—where individual outcomes are random but always  </w:t>
      </w:r>
      <w:r w:rsidDel="00000000" w:rsidR="00000000" w:rsidRPr="00000000">
        <w:rPr>
          <w:b w:val="1"/>
          <w:bCs w:val="1"/>
          <w:rtl w:val="0"/>
        </w:rPr>
        <w:t xml:space="preserve">sum to 7</w:t>
      </w:r>
      <w:r w:rsidDel="00000000" w:rsidR="00000000" w:rsidRPr="00000000">
        <w:rPr>
          <w:rtl w:val="0"/>
        </w:rPr>
        <w:t xml:space="preserve">  when measured in the same basis—JPMC uses MPC to distribute signing authority. No single party holds a private key; a predefined threshold must cooperate to produce a valid signature.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Technical Edge:</w:t>
      </w:r>
      <w:r w:rsidDel="00000000" w:rsidR="00000000" w:rsidRPr="00000000">
        <w:rPr>
          <w:rtl w:val="0"/>
        </w:rPr>
        <w:t xml:space="preserve">  Critically, JPMC’s innovation ensures the signature  </w:t>
      </w:r>
      <w:r w:rsidDel="00000000" w:rsidR="00000000" w:rsidRPr="00000000">
        <w:rPr>
          <w:b w:val="1"/>
          <w:bCs w:val="1"/>
          <w:rtl w:val="0"/>
        </w:rPr>
        <w:t xml:space="preserve">still passes as a standard ML-DSA signature during verification</w:t>
      </w:r>
      <w:r w:rsidDel="00000000" w:rsidR="00000000" w:rsidRPr="00000000">
        <w:rPr>
          <w:rtl w:val="0"/>
        </w:rPr>
        <w:t xml:space="preserve"> . This is a masterstroke of engineering that allows the bank to secure public blockchains and digital contracts while maintaining seamless compatibility with legacy systems.</w:t>
      </w:r>
    </w:p>
    <w:p w:rsidR="00000000" w:rsidDel="00000000" w:rsidP="00000000" w:rsidRDefault="00000000" w:rsidRPr="00000000" w14:paraId="00000012">
      <w:pPr>
        <w:pStyle w:val="Heading6"/>
        <w:rPr/>
      </w:pPr>
      <w:bookmarkStart w:colFirst="0" w:colLast="0" w:name="_h10i3fivs281" w:id="6"/>
      <w:bookmarkEnd w:id="6"/>
      <w:r w:rsidDel="00000000" w:rsidR="00000000" w:rsidRPr="00000000">
        <w:rPr>
          <w:rtl w:val="0"/>
        </w:rPr>
        <w:t xml:space="preserve">Mandatory Defensive Framework</w:t>
      </w:r>
    </w:p>
    <w:p w:rsidR="00000000" w:rsidDel="00000000" w:rsidP="00000000" w:rsidRDefault="00000000" w:rsidRPr="00000000" w14:paraId="00000013">
      <w:pPr>
        <w:numPr>
          <w:ilvl w:val="0"/>
          <w:numId w:val="5"/>
        </w:numPr>
        <w:ind w:left="720" w:hanging="360"/>
        <w:rPr>
          <w:u w:val="none"/>
        </w:rPr>
      </w:pPr>
      <w:r w:rsidDel="00000000" w:rsidR="00000000" w:rsidRPr="00000000">
        <w:rPr>
          <w:b w:val="1"/>
          <w:bCs w:val="1"/>
          <w:rtl w:val="0"/>
        </w:rPr>
        <w:t xml:space="preserve">Systemic PQC Migration:</w:t>
      </w:r>
      <w:r w:rsidDel="00000000" w:rsidR="00000000" w:rsidRPr="00000000">
        <w:rPr>
          <w:rtl w:val="0"/>
        </w:rPr>
        <w:t xml:space="preserve">  Immediate transition for all data with a shelf-life &gt;5 years to neutralize the "harvesting" threat.</w:t>
      </w:r>
    </w:p>
    <w:p w:rsidR="00000000" w:rsidDel="00000000" w:rsidP="00000000" w:rsidRDefault="00000000" w:rsidRPr="00000000" w14:paraId="00000014">
      <w:pPr>
        <w:numPr>
          <w:ilvl w:val="0"/>
          <w:numId w:val="5"/>
        </w:numPr>
        <w:ind w:left="720" w:hanging="360"/>
        <w:rPr>
          <w:u w:val="none"/>
        </w:rPr>
      </w:pPr>
      <w:r w:rsidDel="00000000" w:rsidR="00000000" w:rsidRPr="00000000">
        <w:rPr>
          <w:b w:val="1"/>
          <w:bCs w:val="1"/>
          <w:rtl w:val="0"/>
        </w:rPr>
        <w:t xml:space="preserve">Two-Pillar Compliance:</w:t>
      </w:r>
      <w:r w:rsidDel="00000000" w:rsidR="00000000" w:rsidRPr="00000000">
        <w:rPr>
          <w:rtl w:val="0"/>
        </w:rPr>
        <w:t xml:space="preserve">  Adherence to the  </w:t>
      </w:r>
      <w:r w:rsidDel="00000000" w:rsidR="00000000" w:rsidRPr="00000000">
        <w:rPr>
          <w:b w:val="1"/>
          <w:bCs w:val="1"/>
          <w:rtl w:val="0"/>
        </w:rPr>
        <w:t xml:space="preserve">European Quantum Act’s</w:t>
      </w:r>
      <w:r w:rsidDel="00000000" w:rsidR="00000000" w:rsidRPr="00000000">
        <w:rPr>
          <w:rtl w:val="0"/>
        </w:rPr>
        <w:t xml:space="preserve">  dual framework of strict regulation and aggressive industrial policy.</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bCs w:val="1"/>
          <w:rtl w:val="0"/>
        </w:rPr>
        <w:t xml:space="preserve">Encrypted Asset Mapping:</w:t>
      </w:r>
      <w:r w:rsidDel="00000000" w:rsidR="00000000" w:rsidRPr="00000000">
        <w:rPr>
          <w:rtl w:val="0"/>
        </w:rPr>
        <w:t xml:space="preserve">  Following the  </w:t>
      </w:r>
      <w:r w:rsidDel="00000000" w:rsidR="00000000" w:rsidRPr="00000000">
        <w:rPr>
          <w:b w:val="1"/>
          <w:bCs w:val="1"/>
          <w:rtl w:val="0"/>
        </w:rPr>
        <w:t xml:space="preserve">Israel Banking Directive (Jan 2025)</w:t>
      </w:r>
      <w:r w:rsidDel="00000000" w:rsidR="00000000" w:rsidRPr="00000000">
        <w:rPr>
          <w:rtl w:val="0"/>
        </w:rPr>
        <w:t xml:space="preserve"> , institutions must map all encrypted assets to identify where "dequantization" or cryptographic failure represents a catastrophic risk to solvency.</w:t>
      </w:r>
    </w:p>
    <w:p w:rsidR="00000000" w:rsidDel="00000000" w:rsidP="00000000" w:rsidRDefault="00000000" w:rsidRPr="00000000" w14:paraId="00000016">
      <w:pPr>
        <w:pStyle w:val="Heading5"/>
        <w:rPr/>
      </w:pPr>
      <w:bookmarkStart w:colFirst="0" w:colLast="0" w:name="_9xsltcw53gvt" w:id="7"/>
      <w:bookmarkEnd w:id="7"/>
      <w:r w:rsidDel="00000000" w:rsidR="00000000" w:rsidRPr="00000000">
        <w:rPr>
          <w:rtl w:val="0"/>
        </w:rPr>
        <w:t xml:space="preserve">4. Technical Obstacles: Dequantization, Barren Plateaus, and the "Black Box"</w:t>
      </w:r>
    </w:p>
    <w:p w:rsidR="00000000" w:rsidDel="00000000" w:rsidP="00000000" w:rsidRDefault="00000000" w:rsidRPr="00000000" w14:paraId="00000017">
      <w:pPr>
        <w:rPr/>
      </w:pPr>
      <w:r w:rsidDel="00000000" w:rsidR="00000000" w:rsidRPr="00000000">
        <w:rPr>
          <w:rtl w:val="0"/>
        </w:rPr>
        <w:t xml:space="preserve">The transition to quantum-enhanced finance introduces the  </w:t>
      </w:r>
      <w:r w:rsidDel="00000000" w:rsidR="00000000" w:rsidRPr="00000000">
        <w:rPr>
          <w:b w:val="1"/>
          <w:bCs w:val="1"/>
          <w:rtl w:val="0"/>
        </w:rPr>
        <w:t xml:space="preserve">"Double Black Box"</w:t>
      </w:r>
      <w:r w:rsidDel="00000000" w:rsidR="00000000" w:rsidRPr="00000000">
        <w:rPr>
          <w:rtl w:val="0"/>
        </w:rPr>
        <w:t xml:space="preserve">  problem. Explaining AI decision-making is already a regulatory nightmare; when that AI runs on quantum logic where variables exist in multi-dimensional Hilbert space, transparency vanishes. For a Chief Risk Officer, saying a "loan was denied because of quantum interference" represents a  </w:t>
      </w:r>
      <w:r w:rsidDel="00000000" w:rsidR="00000000" w:rsidRPr="00000000">
        <w:rPr>
          <w:b w:val="1"/>
          <w:bCs w:val="1"/>
          <w:rtl w:val="0"/>
        </w:rPr>
        <w:t xml:space="preserve">catastrophic failure of transparency mandates</w:t>
      </w:r>
      <w:r w:rsidDel="00000000" w:rsidR="00000000" w:rsidRPr="00000000">
        <w:rPr>
          <w:rtl w:val="0"/>
        </w:rPr>
        <w:t xml:space="preserve">  under current European mortgage disclosure regulations.</w:t>
      </w:r>
    </w:p>
    <w:p w:rsidR="00000000" w:rsidDel="00000000" w:rsidP="00000000" w:rsidRDefault="00000000" w:rsidRPr="00000000" w14:paraId="00000018">
      <w:pPr>
        <w:pStyle w:val="Heading6"/>
        <w:rPr/>
      </w:pPr>
      <w:bookmarkStart w:colFirst="0" w:colLast="0" w:name="_20pse3uxjeeh" w:id="8"/>
      <w:bookmarkEnd w:id="8"/>
      <w:r w:rsidDel="00000000" w:rsidR="00000000" w:rsidRPr="00000000">
        <w:rPr>
          <w:rtl w:val="0"/>
        </w:rPr>
        <w:t xml:space="preserve">The Dequantization Hierarchy</w:t>
      </w:r>
    </w:p>
    <w:p w:rsidR="00000000" w:rsidDel="00000000" w:rsidP="00000000" w:rsidRDefault="00000000" w:rsidRPr="00000000" w14:paraId="00000019">
      <w:pPr>
        <w:rPr/>
      </w:pPr>
      <w:r w:rsidDel="00000000" w:rsidR="00000000" w:rsidRPr="00000000">
        <w:rPr>
          <w:rtl w:val="0"/>
        </w:rPr>
        <w:t xml:space="preserve">To prevent "premature scaling"—spending millions on hardware that a classical surrogate could replicate—we must categorize all quantum circuits by two properties:  </w:t>
      </w:r>
      <w:r w:rsidDel="00000000" w:rsidR="00000000" w:rsidRPr="00000000">
        <w:rPr>
          <w:b w:val="1"/>
          <w:bCs w:val="1"/>
          <w:rtl w:val="0"/>
        </w:rPr>
        <w:t xml:space="preserve">Evaluation</w:t>
      </w:r>
      <w:r w:rsidDel="00000000" w:rsidR="00000000" w:rsidRPr="00000000">
        <w:rPr>
          <w:rtl w:val="0"/>
        </w:rPr>
        <w:t xml:space="preserve">  (computing the output) and  </w:t>
      </w:r>
      <w:r w:rsidDel="00000000" w:rsidR="00000000" w:rsidRPr="00000000">
        <w:rPr>
          <w:b w:val="1"/>
          <w:bCs w:val="1"/>
          <w:rtl w:val="0"/>
        </w:rPr>
        <w:t xml:space="preserve">Identification</w:t>
      </w:r>
      <w:r w:rsidDel="00000000" w:rsidR="00000000" w:rsidRPr="00000000">
        <w:rPr>
          <w:rtl w:val="0"/>
        </w:rPr>
        <w:t xml:space="preserve">  (determining the function from parameters).</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Class 1 (Identifiable &amp; Evaluatable):</w:t>
      </w:r>
      <w:r w:rsidDel="00000000" w:rsidR="00000000" w:rsidRPr="00000000">
        <w:rPr>
          <w:rtl w:val="0"/>
        </w:rPr>
        <w:t xml:space="preserve">  Fully simulatable by classical computers. These provide  </w:t>
      </w:r>
      <w:r w:rsidDel="00000000" w:rsidR="00000000" w:rsidRPr="00000000">
        <w:rPr>
          <w:b w:val="1"/>
          <w:bCs w:val="1"/>
          <w:rtl w:val="0"/>
        </w:rPr>
        <w:t xml:space="preserve">NO quantum advantage</w:t>
      </w:r>
      <w:r w:rsidDel="00000000" w:rsidR="00000000" w:rsidRPr="00000000">
        <w:rPr>
          <w:rtl w:val="0"/>
        </w:rPr>
        <w:t xml:space="preserve"> .</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Class 2 (Evaluatable but not Identifiable):</w:t>
      </w:r>
      <w:r w:rsidDel="00000000" w:rsidR="00000000" w:rsidRPr="00000000">
        <w:rPr>
          <w:rtl w:val="0"/>
        </w:rPr>
        <w:t xml:space="preserve">  The P&amp;L danger zone. These functions can be evaluated classically but the circuit parameters are hidden. Banks risk  </w:t>
      </w:r>
      <w:r w:rsidDel="00000000" w:rsidR="00000000" w:rsidRPr="00000000">
        <w:rPr>
          <w:b w:val="1"/>
          <w:bCs w:val="1"/>
          <w:rtl w:val="0"/>
        </w:rPr>
        <w:t xml:space="preserve">"burning cash to look futuristic"</w:t>
      </w:r>
      <w:r w:rsidDel="00000000" w:rsidR="00000000" w:rsidRPr="00000000">
        <w:rPr>
          <w:rtl w:val="0"/>
        </w:rPr>
        <w:t xml:space="preserve">  in this class, as a classical surrogate can often be trained to achieve identical results at 1% of the quantum cost (dequantization without simulation).</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Class 3 (Quantum Functions):</w:t>
      </w:r>
      <w:r w:rsidDel="00000000" w:rsidR="00000000" w:rsidRPr="00000000">
        <w:rPr>
          <w:rtl w:val="0"/>
        </w:rPr>
        <w:t xml:space="preserve">  Where true, robust quantum advantage resides; these defy classical evaluation and identification.</w:t>
      </w:r>
      <w:r w:rsidDel="00000000" w:rsidR="00000000" w:rsidRPr="00000000">
        <w:rPr>
          <w:b w:val="1"/>
          <w:bCs w:val="1"/>
          <w:rtl w:val="0"/>
        </w:rPr>
        <w:t xml:space="preserve">Operational Risks:</w:t>
      </w:r>
      <w:r w:rsidDel="00000000" w:rsidR="00000000" w:rsidRPr="00000000">
        <w:rPr>
          <w:rtl w:val="0"/>
        </w:rPr>
        <w:t xml:space="preserve">  Beyond logic, we face  </w:t>
      </w:r>
      <w:r w:rsidDel="00000000" w:rsidR="00000000" w:rsidRPr="00000000">
        <w:rPr>
          <w:b w:val="1"/>
          <w:bCs w:val="1"/>
          <w:rtl w:val="0"/>
        </w:rPr>
        <w:t xml:space="preserve">"Barren Plateaus,"</w:t>
      </w:r>
      <w:r w:rsidDel="00000000" w:rsidR="00000000" w:rsidRPr="00000000">
        <w:rPr>
          <w:rtl w:val="0"/>
        </w:rPr>
        <w:t xml:space="preserve">  where models stop learning exponentially as qubits are added, and the massive  </w:t>
      </w:r>
      <w:r w:rsidDel="00000000" w:rsidR="00000000" w:rsidRPr="00000000">
        <w:rPr>
          <w:b w:val="1"/>
          <w:bCs w:val="1"/>
          <w:rtl w:val="0"/>
        </w:rPr>
        <w:t xml:space="preserve">"Tech Debt"</w:t>
      </w:r>
      <w:r w:rsidDel="00000000" w:rsidR="00000000" w:rsidRPr="00000000">
        <w:rPr>
          <w:rtl w:val="0"/>
        </w:rPr>
        <w:t xml:space="preserve">  of migrating 40 years of COBOL spaghetti-code into a quantum-safe environment.</w:t>
      </w:r>
    </w:p>
    <w:p w:rsidR="00000000" w:rsidDel="00000000" w:rsidP="00000000" w:rsidRDefault="00000000" w:rsidRPr="00000000" w14:paraId="0000001D">
      <w:pPr>
        <w:pStyle w:val="Heading5"/>
        <w:rPr/>
      </w:pPr>
      <w:bookmarkStart w:colFirst="0" w:colLast="0" w:name="_g2prodpw57pz" w:id="9"/>
      <w:bookmarkEnd w:id="9"/>
      <w:r w:rsidDel="00000000" w:rsidR="00000000" w:rsidRPr="00000000">
        <w:rPr>
          <w:rtl w:val="0"/>
        </w:rPr>
        <w:t xml:space="preserve">5. Sovereignty and Governance: The Regulatory "Home Court Advantage"</w:t>
      </w:r>
    </w:p>
    <w:p w:rsidR="00000000" w:rsidDel="00000000" w:rsidP="00000000" w:rsidRDefault="00000000" w:rsidRPr="00000000" w14:paraId="0000001E">
      <w:pPr>
        <w:rPr/>
      </w:pPr>
      <w:r w:rsidDel="00000000" w:rsidR="00000000" w:rsidRPr="00000000">
        <w:rPr>
          <w:rtl w:val="0"/>
        </w:rPr>
        <w:t xml:space="preserve">Europe’s historical penchant for regulation is now a strategic asset. The  </w:t>
      </w:r>
      <w:r w:rsidDel="00000000" w:rsidR="00000000" w:rsidRPr="00000000">
        <w:rPr>
          <w:b w:val="1"/>
          <w:bCs w:val="1"/>
          <w:rtl w:val="0"/>
        </w:rPr>
        <w:t xml:space="preserve">European Quantum Act</w:t>
      </w:r>
      <w:r w:rsidDel="00000000" w:rsidR="00000000" w:rsidRPr="00000000">
        <w:rPr>
          <w:rtl w:val="0"/>
        </w:rPr>
        <w:t xml:space="preserve">  and  </w:t>
      </w:r>
      <w:r w:rsidDel="00000000" w:rsidR="00000000" w:rsidRPr="00000000">
        <w:rPr>
          <w:b w:val="1"/>
          <w:bCs w:val="1"/>
          <w:rtl w:val="0"/>
        </w:rPr>
        <w:t xml:space="preserve">EuroHPC</w:t>
      </w:r>
      <w:r w:rsidDel="00000000" w:rsidR="00000000" w:rsidRPr="00000000">
        <w:rPr>
          <w:rtl w:val="0"/>
        </w:rPr>
        <w:t xml:space="preserve">  have established  </w:t>
      </w:r>
      <w:r w:rsidDel="00000000" w:rsidR="00000000" w:rsidRPr="00000000">
        <w:rPr>
          <w:b w:val="1"/>
          <w:bCs w:val="1"/>
          <w:rtl w:val="0"/>
        </w:rPr>
        <w:t xml:space="preserve">six sovereign quantum sites</w:t>
      </w:r>
      <w:r w:rsidDel="00000000" w:rsidR="00000000" w:rsidRPr="00000000">
        <w:rPr>
          <w:rtl w:val="0"/>
        </w:rPr>
        <w:t xml:space="preserve">  (with France as the primary hub), creating a technological moat that ensures data residency and eliminates dependency on foreign cloud providers who could restrict access during geopolitical conflicts.</w:t>
      </w:r>
      <w:r w:rsidDel="00000000" w:rsidR="00000000" w:rsidRPr="00000000">
        <w:rPr>
          <w:b w:val="1"/>
          <w:bCs w:val="1"/>
          <w:rtl w:val="0"/>
        </w:rPr>
        <w:t xml:space="preserve">The Talent Moat: Europe’s Latent Strategic Asset</w:t>
      </w:r>
      <w:r w:rsidDel="00000000" w:rsidR="00000000" w:rsidRPr="00000000">
        <w:rPr>
          <w:rtl w:val="0"/>
        </w:rPr>
        <w:t xml:space="preserve">  While the global industry faces a  </w:t>
      </w:r>
      <w:r w:rsidDel="00000000" w:rsidR="00000000" w:rsidRPr="00000000">
        <w:rPr>
          <w:b w:val="1"/>
          <w:bCs w:val="1"/>
          <w:rtl w:val="0"/>
        </w:rPr>
        <w:t xml:space="preserve">250,000 worker gap</w:t>
      </w:r>
      <w:r w:rsidDel="00000000" w:rsidR="00000000" w:rsidRPr="00000000">
        <w:rPr>
          <w:rtl w:val="0"/>
        </w:rPr>
        <w:t xml:space="preserve"> , Europe’s scientific concentration is a latent asset for EU-centric banks. However, "Quantum Literacy" must become an institutional muscle memory. We do not need more theoretical physicists; we need bankers who can identify "quantum-shaped problems" and engineers capable of implementing the "Two-Pillar" strategy:</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rtl w:val="0"/>
        </w:rPr>
        <w:t xml:space="preserve">Industrial Pillar:</w:t>
      </w:r>
      <w:r w:rsidDel="00000000" w:rsidR="00000000" w:rsidRPr="00000000">
        <w:rPr>
          <w:rtl w:val="0"/>
        </w:rPr>
        <w:t xml:space="preserve">  Leveraging sovereign sites for proprietary modeling.</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Regulatory Pillar:</w:t>
      </w:r>
      <w:r w:rsidDel="00000000" w:rsidR="00000000" w:rsidRPr="00000000">
        <w:rPr>
          <w:rtl w:val="0"/>
        </w:rPr>
        <w:t xml:space="preserve">  Using the  </w:t>
      </w:r>
      <w:r w:rsidDel="00000000" w:rsidR="00000000" w:rsidRPr="00000000">
        <w:rPr>
          <w:b w:val="1"/>
          <w:bCs w:val="1"/>
          <w:rtl w:val="0"/>
        </w:rPr>
        <w:t xml:space="preserve">QT QM</w:t>
      </w:r>
      <w:r w:rsidDel="00000000" w:rsidR="00000000" w:rsidRPr="00000000">
        <w:rPr>
          <w:rtl w:val="0"/>
        </w:rPr>
        <w:t xml:space="preserve">  (Quality Management) framework to define "trusted finance" and turn compliance into a competitive weapon.</w:t>
      </w:r>
    </w:p>
    <w:p w:rsidR="00000000" w:rsidDel="00000000" w:rsidP="00000000" w:rsidRDefault="00000000" w:rsidRPr="00000000" w14:paraId="00000021">
      <w:pPr>
        <w:pStyle w:val="Heading5"/>
        <w:rPr/>
      </w:pPr>
      <w:bookmarkStart w:colFirst="0" w:colLast="0" w:name="_sbmy9xgwk1a7" w:id="10"/>
      <w:bookmarkEnd w:id="10"/>
      <w:r w:rsidDel="00000000" w:rsidR="00000000" w:rsidRPr="00000000">
        <w:rPr>
          <w:rtl w:val="0"/>
        </w:rPr>
        <w:t xml:space="preserve">6. Conclusion: The Point of No Return</w:t>
      </w:r>
    </w:p>
    <w:p w:rsidR="00000000" w:rsidDel="00000000" w:rsidP="00000000" w:rsidRDefault="00000000" w:rsidRPr="00000000" w14:paraId="00000022">
      <w:pPr>
        <w:rPr>
          <w:b w:val="1"/>
          <w:bCs w:val="1"/>
        </w:rPr>
      </w:pPr>
      <w:r w:rsidDel="00000000" w:rsidR="00000000" w:rsidRPr="00000000">
        <w:rPr>
          <w:rtl w:val="0"/>
        </w:rPr>
        <w:t xml:space="preserve">The financial sector is crossing the "Quantum Event Horizon." The divergence between "Quantum-Ready" leaders and laggards is now permanent. Institutional muscle memory—the data pipelines, governance frameworks, and specialized talent—cannot be acquired in a last-minute panic.</w:t>
      </w:r>
      <w:r w:rsidDel="00000000" w:rsidR="00000000" w:rsidRPr="00000000">
        <w:rPr>
          <w:b w:val="1"/>
          <w:bCs w:val="1"/>
          <w:rtl w:val="0"/>
        </w:rPr>
        <w:t xml:space="preserve">Strategic Command for the XCO:</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Stop Innovation Theater:</w:t>
      </w:r>
      <w:r w:rsidDel="00000000" w:rsidR="00000000" w:rsidRPr="00000000">
        <w:rPr>
          <w:rtl w:val="0"/>
        </w:rPr>
        <w:t xml:space="preserve">  Move from "Innovation" to "Operational Execution" immediately.</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Benchmark or Bleed:</w:t>
      </w:r>
      <w:r w:rsidDel="00000000" w:rsidR="00000000" w:rsidRPr="00000000">
        <w:rPr>
          <w:rtl w:val="0"/>
        </w:rPr>
        <w:t xml:space="preserve">  Mandate rigorous classical benchmarking to avoid the Class 2 dequantization trap.</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Prepare for the "ChatGPT Moment":</w:t>
      </w:r>
      <w:r w:rsidDel="00000000" w:rsidR="00000000" w:rsidRPr="00000000">
        <w:rPr>
          <w:rtl w:val="0"/>
        </w:rPr>
        <w:t xml:space="preserve">  When quantum hits its mass-adoption inflection point, the acceleration will be so violent that those outside the horizon will be left behind, holding legacy liabilities they can neither secure nor optimize.Lead the architecture of this new reality or prepare for obsolescence.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