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widowControl w:val="1"/>
      </w:pPr>
    </w:p>
    <w:p>
      <w:pPr>
        <w:spacing w:after="200"/>
        <w:widowControl w:val="1"/>
      </w:pPr>
      <w:r>
        <w:t>OPEN-SOURCE REVIEW</w:t>
      </w:r>
    </w:p>
    <w:p>
      <w:pPr>
        <w:pStyle w:val="Title"/>
        <w:keepNext/>
        <w:widowControl w:val="1"/>
      </w:pPr>
      <w:r>
        <w:t>Nebius Group N.V. and</w:t>
        <w:br/>
        <w:t>Arkady Volozh</w:t>
      </w:r>
    </w:p>
    <w:p>
      <w:pPr>
        <w:pStyle w:val="Subtitle"/>
        <w:widowControl w:val="1"/>
      </w:pPr>
      <w:r>
        <w:t>Prospect acceptance – review of publicly available information</w:t>
      </w:r>
    </w:p>
    <w:p>
      <w:pPr>
        <w:spacing w:after="500"/>
        <w:widowControl w:val="1"/>
      </w:pPr>
    </w:p>
    <w:p>
      <w:pPr>
        <w:pStyle w:val="Callout"/>
        <w:widowControl w:val="1"/>
      </w:pPr>
      <w:r/>
      <w:r>
        <w:rPr>
          <w:b/>
        </w:rPr>
        <w:t xml:space="preserve">Purpose  </w:t>
      </w:r>
      <w:r>
        <w:t>A review of publicly available information requested by COVERAGE in connection with a prospect under consideration for acceptance, focused on Nebius Group N.V. and Arkady Volozh.</w:t>
      </w:r>
    </w:p>
    <w:tbl>
      <w:tblPr>
        <w:tblW w:type="dxa" w:w="9360"/>
        <w:jc w:val="left"/>
        <w:tblLayout w:type="fixed"/>
        <w:tblLook w:firstColumn="1" w:firstRow="1" w:lastColumn="0" w:lastRow="0" w:noHBand="0" w:noVBand="1" w:val="04A0"/>
        <w:tblInd w:w="120" w:type="dxa"/>
      </w:tblPr>
      <w:tblGrid>
        <w:gridCol w:w="2050"/>
        <w:gridCol w:w="7310"/>
      </w:tblGrid>
      <w:tr>
        <w:trPr>
          <w:tblHeader w:val="true"/>
          <w:cantSplit/>
        </w:trPr>
        <w:tc>
          <w:tcPr>
            <w:tcW w:type="dxa" w:w="2050"/>
            <w:shd w:fill="123F3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Pr>
                <w:b/>
                <w:color w:val="FFFFFF"/>
              </w:rPr>
            </w:r>
            <w:r>
              <w:rPr>
                <w:rFonts w:ascii="Aptos" w:hAnsi="Aptos"/>
                <w:b/>
                <w:sz w:val="19"/>
                <w:color w:val="FFFFFF"/>
              </w:rPr>
              <w:t>Document control</w:t>
            </w:r>
          </w:p>
        </w:tc>
        <w:tc>
          <w:tcPr>
            <w:tcW w:type="dxa" w:w="7310"/>
            <w:shd w:fill="123F3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Pr>
                <w:b/>
                <w:color w:val="FFFFFF"/>
              </w:rPr>
            </w:r>
            <w:r>
              <w:rPr>
                <w:rFonts w:ascii="Aptos" w:hAnsi="Aptos"/>
                <w:b/>
                <w:sz w:val="19"/>
                <w:color w:val="FFFFFF"/>
              </w:rPr>
              <w:t>Detail</w:t>
            </w:r>
          </w:p>
        </w:tc>
      </w:tr>
      <w:tr>
        <w:trPr>
          <w:cantSplit/>
        </w:trPr>
        <w:tc>
          <w:tcPr>
            <w:tcW w:type="dxa" w:w="205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Review date</w:t>
            </w:r>
          </w:p>
        </w:tc>
        <w:tc>
          <w:tcPr>
            <w:tcW w:type="dxa" w:w="73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28 July 2026</w:t>
            </w:r>
          </w:p>
        </w:tc>
      </w:tr>
      <w:tr>
        <w:trPr>
          <w:cantSplit/>
        </w:trPr>
        <w:tc>
          <w:tcPr>
            <w:tcW w:type="dxa" w:w="205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Prepared for</w:t>
            </w:r>
          </w:p>
        </w:tc>
        <w:tc>
          <w:tcPr>
            <w:tcW w:type="dxa" w:w="73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COVERAGE – prospect acceptance team</w:t>
            </w:r>
          </w:p>
        </w:tc>
      </w:tr>
      <w:tr>
        <w:trPr>
          <w:cantSplit/>
        </w:trPr>
        <w:tc>
          <w:tcPr>
            <w:tcW w:type="dxa" w:w="205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Request</w:t>
            </w:r>
          </w:p>
        </w:tc>
        <w:tc>
          <w:tcPr>
            <w:tcW w:type="dxa" w:w="73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OSINT search on Nebius Group N.V. and Arkady Volozh</w:t>
            </w:r>
          </w:p>
        </w:tc>
      </w:tr>
      <w:tr>
        <w:trPr>
          <w:cantSplit/>
        </w:trPr>
        <w:tc>
          <w:tcPr>
            <w:tcW w:type="dxa" w:w="205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Primary subjects</w:t>
            </w:r>
          </w:p>
        </w:tc>
        <w:tc>
          <w:tcPr>
            <w:tcW w:type="dxa" w:w="73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Nebius Group N.V.; Arkady Yurievich Volozh (DOB: 11 February 1964)</w:t>
            </w:r>
          </w:p>
        </w:tc>
      </w:tr>
      <w:tr>
        <w:trPr>
          <w:cantSplit/>
        </w:trPr>
        <w:tc>
          <w:tcPr>
            <w:tcW w:type="dxa" w:w="205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Contextual entities</w:t>
            </w:r>
          </w:p>
        </w:tc>
        <w:tc>
          <w:tcPr>
            <w:tcW w:type="dxa" w:w="73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Historic Yandex / Yandex N.V.; Toloka; Avride and other Nebius interests where material</w:t>
            </w:r>
          </w:p>
        </w:tc>
      </w:tr>
      <w:tr>
        <w:trPr>
          <w:cantSplit/>
        </w:trPr>
        <w:tc>
          <w:tcPr>
            <w:tcW w:type="dxa" w:w="205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Report status</w:t>
            </w:r>
          </w:p>
        </w:tc>
        <w:tc>
          <w:tcPr>
            <w:tcW w:type="dxa" w:w="73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Point-in-time open-source assessment; not legal advice and not an acceptance decision</w:t>
            </w:r>
          </w:p>
        </w:tc>
      </w:tr>
    </w:tbl>
    <w:p>
      <w:pPr>
        <w:spacing w:after="0"/>
        <w:widowControl w:val="1"/>
      </w:pPr>
    </w:p>
    <w:p>
      <w:pPr>
        <w:pStyle w:val="EvidenceNote"/>
        <w:widowControl w:val="1"/>
      </w:pPr>
      <w:r>
        <w:t>Entity naming: Nebius Group N.V. is the successor name adopted by the former Dutch parent Yandex N.V. in 2024. Russian Yandex is now a legally separate group.</w:t>
      </w:r>
    </w:p>
    <w:p>
      <w:pPr>
        <w:widowControl w:val="1"/>
      </w:pPr>
      <w:r>
        <w:br w:type="page"/>
      </w:r>
    </w:p>
    <w:p>
      <w:pPr>
        <w:pStyle w:val="Heading1"/>
      </w:pPr>
      <w:r>
        <w:t>Executive summary</w:t>
      </w:r>
    </w:p>
    <w:p>
      <w:pPr>
        <w:pStyle w:val="Heading2"/>
      </w:pPr>
      <w:r>
        <w:t>The request</w:t>
      </w:r>
    </w:p>
    <w:p>
      <w:pPr/>
      <w:r>
        <w:t>COVERAGE requested an open-source intelligence (OSINT) search on Nebius Group N.V. and Arkady Volozh because the prospect is being considered for acceptance. The review looked for important public information about sanctions, ownership, management and control, financial crime, court cases, business conduct and reputation. It provides findings for the acceptance assessment but does not make the acceptance decision.</w:t>
      </w:r>
    </w:p>
    <w:p>
      <w:pPr>
        <w:pStyle w:val="Heading2"/>
      </w:pPr>
      <w:r>
        <w:t>Subject overview</w:t>
      </w:r>
    </w:p>
    <w:p>
      <w:pPr/>
      <w:r>
        <w:rPr>
          <w:b/>
        </w:rPr>
        <w:t xml:space="preserve">Arkady Volozh.  </w:t>
      </w:r>
      <w:r>
        <w:t>Volozh is a technology entrepreneur and the co-founder of Yandex. He led Yandex for approximately 25 years, resigned from his executive roles after the EU imposed sanctions on him in June 2022, and returned in August 2024 as founder, Chief Executive Officer and Executive Director of Nebius Group N.V.</w:t>
      </w:r>
    </w:p>
    <w:p>
      <w:pPr/>
      <w:r>
        <w:rPr>
          <w:b/>
        </w:rPr>
        <w:t xml:space="preserve">Nebius Group N.V.  </w:t>
      </w:r>
      <w:r>
        <w:t>Nebius is a Dutch, Nasdaq-listed AI infrastructure group headquartered in Amsterdam. It emerged from the former Dutch parent Yandex N.V. after the sale of the Russian businesses in July 2024. Its activities include AI cloud infrastructure and investments or interests in businesses including Avride, TripleTen, ClickHouse and Toloka.</w:t>
      </w:r>
    </w:p>
    <w:p>
      <w:pPr>
        <w:pStyle w:val="EvidenceNote"/>
      </w:pPr>
      <w:r/>
      <w:r>
        <w:rPr>
          <w:b/>
        </w:rPr>
        <w:t xml:space="preserve">Related entities reviewed during the research.  </w:t>
      </w:r>
      <w:r>
        <w:t>Yandex, Toloka, Avride, TripleTen, ClickHouse and relevant purchaser or investor entities were reviewed because they appeared in official records or reliable reporting. They helped determine whether historical events or current concerns could reasonably be linked to Volozh or Nebius. A finding was attributed to either subject only where the evidence showed a clear connection. Otherwise, it was included only as background and was not treated as their conduct.</w:t>
      </w:r>
    </w:p>
    <w:p>
      <w:pPr>
        <w:pStyle w:val="Heading2"/>
      </w:pPr>
      <w:r>
        <w:t>Findings</w:t>
      </w:r>
    </w:p>
    <w:p>
      <w:pPr>
        <w:pStyle w:val="Callout"/>
        <w:widowControl w:val="1"/>
      </w:pPr>
      <w:r/>
      <w:r>
        <w:rPr>
          <w:b/>
        </w:rPr>
        <w:t xml:space="preserve">Overall finding  </w:t>
      </w:r>
      <w:r>
        <w:t>The overall level of concern is higher than would normally be expected. The main reasons are that Volozh remains subject to sanctions in Ukraine, was previously sanctioned by the EU, and Nebius has important governance, reputational and operational concerns. The position is also complex: some concerns are current and directly connected to Volozh or Nebius, while others are historical, disputed or relate to companies that are now legally separate or no longer controlled by Nebius. The report therefore assesses each issue separately and does not treat all findings as having the same seriousness or the same connection to the two subjects. No money-laundering, fraud or criminal finding against Volozh or Nebius was identified.</w:t>
      </w:r>
    </w:p>
    <w:tbl>
      <w:tblPr>
        <w:tblW w:type="dxa" w:w="9360"/>
        <w:jc w:val="left"/>
        <w:tblLayout w:type="fixed"/>
        <w:tblLook w:firstColumn="1" w:firstRow="1" w:lastColumn="0" w:lastRow="0" w:noHBand="0" w:noVBand="1" w:val="04A0"/>
        <w:tblInd w:w="120" w:type="dxa"/>
      </w:tblPr>
      <w:tblGrid>
        <w:gridCol w:w="1600"/>
        <w:gridCol w:w="1050"/>
        <w:gridCol w:w="3870"/>
        <w:gridCol w:w="2840"/>
      </w:tblGrid>
      <w:tr>
        <w:trPr>
          <w:tblHeader w:val="true"/>
          <w:cantSplit/>
        </w:trPr>
        <w:tc>
          <w:tcPr>
            <w:tcW w:type="dxa" w:w="160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5"/>
              </w:rPr>
              <w:t>Risk domain</w:t>
            </w:r>
          </w:p>
        </w:tc>
        <w:tc>
          <w:tcPr>
            <w:tcW w:type="dxa" w:w="105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5"/>
              </w:rPr>
              <w:t>Potential risk rating</w:t>
            </w:r>
          </w:p>
        </w:tc>
        <w:tc>
          <w:tcPr>
            <w:tcW w:type="dxa" w:w="387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5"/>
              </w:rPr>
              <w:t>Rationale</w:t>
            </w:r>
          </w:p>
        </w:tc>
        <w:tc>
          <w:tcPr>
            <w:tcW w:type="dxa" w:w="284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5"/>
              </w:rPr>
              <w:t>Assessment significance</w:t>
            </w:r>
          </w:p>
        </w:tc>
      </w:tr>
      <w:tr>
        <w:trPr>
          <w:cantSplit/>
        </w:trPr>
        <w:tc>
          <w:tcPr>
            <w:tcW w:type="dxa" w:w="160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Sanctions / geopolitical</w:t>
            </w:r>
          </w:p>
        </w:tc>
        <w:tc>
          <w:tcPr>
            <w:tcW w:type="dxa" w:w="105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HIGH</w:t>
            </w:r>
          </w:p>
        </w:tc>
        <w:tc>
          <w:tcPr>
            <w:tcW w:type="dxa" w:w="387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 EU sanctioned Volozh from June 2022 to March 2024. Ukraine imposed separate sanctions in October 2022 that remain active. Investors linked to Russian Yandex after its sale were later affected by sanctions.</w:t>
            </w:r>
          </w:p>
        </w:tc>
        <w:tc>
          <w:tcPr>
            <w:tcW w:type="dxa" w:w="284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Volozh is no longer sanctioned by the EU, but sanctions imposed by Ukraine remain active.</w:t>
            </w:r>
          </w:p>
        </w:tc>
      </w:tr>
      <w:tr>
        <w:trPr>
          <w:cantSplit/>
        </w:trPr>
        <w:tc>
          <w:tcPr>
            <w:tcW w:type="dxa" w:w="160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Ownership / governance</w:t>
            </w:r>
          </w:p>
        </w:tc>
        <w:tc>
          <w:tcPr>
            <w:tcW w:type="dxa" w:w="105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HIGH</w:t>
            </w:r>
          </w:p>
        </w:tc>
        <w:tc>
          <w:tcPr>
            <w:tcW w:type="dxa" w:w="387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At FY2025, Class B shares provided about 52% of voting power while representing about 11% of the financial interest in the ordinary shares. Nebius describes itself as a company controlled by one shareholder group. Several senior insiders also sold shares in 2026, although important sales were automatic for tax purposes or made under pre-arranged plans.</w:t>
            </w:r>
          </w:p>
        </w:tc>
        <w:tc>
          <w:tcPr>
            <w:tcW w:type="dxa" w:w="284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 structure gives the founder significantly more voting influence than his financial stake would suggest. The share sales may also affect how investors view leadership alignment, although the identified reasons for important sales limit that concern.</w:t>
            </w:r>
          </w:p>
        </w:tc>
      </w:tr>
      <w:tr>
        <w:trPr>
          <w:cantSplit/>
        </w:trPr>
        <w:tc>
          <w:tcPr>
            <w:tcW w:type="dxa" w:w="160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Source of wealth / funds</w:t>
            </w:r>
          </w:p>
        </w:tc>
        <w:tc>
          <w:tcPr>
            <w:tcW w:type="dxa" w:w="105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HIGH</w:t>
            </w:r>
          </w:p>
        </w:tc>
        <w:tc>
          <w:tcPr>
            <w:tcW w:type="dxa" w:w="387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Volozh’s wealth is mainly linked to Yandex and Nebius shares and to the RUB 475bn sale of the Russian businesses, which involved cash, shares and a compulsory discount.</w:t>
            </w:r>
          </w:p>
        </w:tc>
        <w:tc>
          <w:tcPr>
            <w:tcW w:type="dxa" w:w="284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 size and structure of the sale make the full flow and value of the proceeds harder to trace and explain using public information alone.</w:t>
            </w:r>
          </w:p>
        </w:tc>
      </w:tr>
      <w:tr>
        <w:trPr>
          <w:cantSplit/>
        </w:trPr>
        <w:tc>
          <w:tcPr>
            <w:tcW w:type="dxa" w:w="160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Reputation / conduct</w:t>
            </w:r>
          </w:p>
        </w:tc>
        <w:tc>
          <w:tcPr>
            <w:tcW w:type="dxa" w:w="105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HIGH</w:t>
            </w:r>
          </w:p>
        </w:tc>
        <w:tc>
          <w:tcPr>
            <w:tcW w:type="dxa" w:w="387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 concern arises from the EU’s 2022 reasons for sanctioning Volozh, criticism of the timing of his public opposition to the war, the Toloka surveillance allegations and the continuing public association with Russia.</w:t>
            </w:r>
          </w:p>
        </w:tc>
        <w:tc>
          <w:tcPr>
            <w:tcW w:type="dxa" w:w="284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These issues may continue to concern banks, customers, investors and other business partners.</w:t>
            </w:r>
          </w:p>
        </w:tc>
      </w:tr>
      <w:tr>
        <w:trPr>
          <w:cantSplit/>
        </w:trPr>
        <w:tc>
          <w:tcPr>
            <w:tcW w:type="dxa" w:w="160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Financial crime</w:t>
            </w:r>
          </w:p>
        </w:tc>
        <w:tc>
          <w:tcPr>
            <w:tcW w:type="dxa" w:w="105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MEDIUM</w:t>
            </w:r>
          </w:p>
        </w:tc>
        <w:tc>
          <w:tcPr>
            <w:tcW w:type="dxa" w:w="387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No money-laundering or fraud finding was identified. However, the ownership structures, countries involved and sanctions background make the position more complex.</w:t>
            </w:r>
          </w:p>
        </w:tc>
        <w:tc>
          <w:tcPr>
            <w:tcW w:type="dxa" w:w="284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 background warrants additional caution, although the review found no evidence of money laundering, fraud or criminal conduct.</w:t>
            </w:r>
          </w:p>
        </w:tc>
      </w:tr>
      <w:tr>
        <w:trPr>
          <w:cantSplit/>
        </w:trPr>
        <w:tc>
          <w:tcPr>
            <w:tcW w:type="dxa" w:w="160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Data / AI / human rights</w:t>
            </w:r>
          </w:p>
        </w:tc>
        <w:tc>
          <w:tcPr>
            <w:tcW w:type="dxa" w:w="105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HIGH</w:t>
            </w:r>
          </w:p>
        </w:tc>
        <w:tc>
          <w:tcPr>
            <w:tcW w:type="dxa" w:w="387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 activities involve powerful computing systems, a global workforce that labels data, facial images and other biometric information, and testing designed to expose harmful AI behaviour.</w:t>
            </w:r>
          </w:p>
        </w:tc>
        <w:tc>
          <w:tcPr>
            <w:tcW w:type="dxa" w:w="284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This creates important concerns about how services and data may be used, whether personal data is properly protected and whether human rights could be affected.</w:t>
            </w:r>
          </w:p>
        </w:tc>
      </w:tr>
      <w:tr>
        <w:trPr>
          <w:cantSplit/>
        </w:trPr>
        <w:tc>
          <w:tcPr>
            <w:tcW w:type="dxa" w:w="160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Operations / concentration</w:t>
            </w:r>
          </w:p>
        </w:tc>
        <w:tc>
          <w:tcPr>
            <w:tcW w:type="dxa" w:w="105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HIGH</w:t>
            </w:r>
          </w:p>
        </w:tc>
        <w:tc>
          <w:tcPr>
            <w:tcW w:type="dxa" w:w="387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 concerns include the Avride safety review, Birmingham court proceedings, reliance on a small number of very large customers, rapid spending and expansion, acquisitions, and large power and hardware requirements.</w:t>
            </w:r>
          </w:p>
        </w:tc>
        <w:tc>
          <w:tcPr>
            <w:tcW w:type="dxa" w:w="284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These developments create important risks involving delivery, financing, dependence on key suppliers and customers, and the ability to keep services running.</w:t>
            </w:r>
          </w:p>
        </w:tc>
      </w:tr>
    </w:tbl>
    <w:p>
      <w:pPr>
        <w:pStyle w:val="Heading2"/>
      </w:pPr>
      <w:r>
        <w:t>Key findings</w:t>
      </w:r>
    </w:p>
    <w:p>
      <w:pPr>
        <w:pStyle w:val="ListBullet"/>
        <w:spacing w:after="70"/>
        <w:ind w:left="720" w:hanging="360"/>
        <w:widowControl w:val="1"/>
      </w:pPr>
      <w:r>
        <w:rPr>
          <w:rFonts w:ascii="Aptos" w:hAnsi="Aptos"/>
          <w:b w:val="0"/>
          <w:i w:val="0"/>
          <w:color w:val="17221F"/>
          <w:sz w:val="20"/>
        </w:rPr>
        <w:t>The EU imposed sanctions on Volozh in June 2022 and allowed them to cease in March 2024 by not renewing his listing. Ukraine separately imposed sanctions in October 2022 for ten years, and the Ukrainian listing remains active. This is the most significant current personal compliance concern.</w:t>
      </w:r>
    </w:p>
    <w:p>
      <w:pPr>
        <w:pStyle w:val="ListBullet"/>
        <w:spacing w:after="70"/>
        <w:ind w:left="720" w:hanging="360"/>
        <w:widowControl w:val="1"/>
      </w:pPr>
      <w:r>
        <w:rPr>
          <w:rFonts w:ascii="Aptos" w:hAnsi="Aptos"/>
          <w:b w:val="0"/>
          <w:i w:val="0"/>
          <w:color w:val="17221F"/>
          <w:sz w:val="20"/>
        </w:rPr>
        <w:t>Nebius remains founder-controlled through a dual-class and trust structure: at FY2025, Class B shares represented about 52% of ordinary-share voting power for about 11% of the financial interest. The current trustee mandate and degree of founder influence were not established by the public record reviewed.</w:t>
      </w:r>
    </w:p>
    <w:p>
      <w:pPr>
        <w:pStyle w:val="ListBullet"/>
        <w:spacing w:after="70"/>
        <w:ind w:left="720" w:hanging="360"/>
        <w:widowControl w:val="1"/>
      </w:pPr>
      <w:r>
        <w:rPr>
          <w:rFonts w:ascii="Aptos" w:hAnsi="Aptos"/>
          <w:b w:val="0"/>
          <w:i w:val="0"/>
          <w:color w:val="17221F"/>
          <w:sz w:val="20"/>
        </w:rPr>
        <w:t>Nebius has direct 2026 exposure through the Avride safety investigation and Birmingham data-centre litigation. Meta and Microsoft commitments, NVIDIA financing, acquisitions and rapid data-centre expansion materially increase concentration, capital and execution risk.</w:t>
      </w:r>
    </w:p>
    <w:p>
      <w:pPr>
        <w:pStyle w:val="ListBullet"/>
        <w:spacing w:after="70"/>
        <w:ind w:left="720" w:hanging="360"/>
        <w:widowControl w:val="1"/>
      </w:pPr>
      <w:r>
        <w:rPr>
          <w:rFonts w:ascii="Aptos" w:hAnsi="Aptos"/>
          <w:b w:val="0"/>
          <w:i w:val="0"/>
          <w:color w:val="17221F"/>
          <w:sz w:val="20"/>
        </w:rPr>
        <w:t>Toloka carries legacy how the products or services may be used, biometric-data and human-rights concerns arising from allegations that tasks supported facial-recognition vendors later sanctioned by the EU. Toloka disputes that its EU, Swiss or US entities breached sanctions, and no final enforcement finding was identified.</w:t>
      </w:r>
    </w:p>
    <w:p>
      <w:pPr>
        <w:pStyle w:val="ListBullet"/>
        <w:spacing w:after="70"/>
        <w:ind w:left="720" w:hanging="360"/>
        <w:widowControl w:val="1"/>
      </w:pPr>
      <w:r>
        <w:t>Several Nebius executives and directors disposed of Class A shares during 2026. SEC filings show that important Volozh and Shtan transactions were automatic sales solely to meet tax-withholding obligations, while identified Bunina and Boroditsky sales were made under pre-arranged Rule 10b5-1 plans. The pattern creates a market-perception and shareholder-alignment concern but does not establish a negative management view of Nebius.</w:t>
      </w:r>
    </w:p>
    <w:p>
      <w:pPr>
        <w:pStyle w:val="ListBullet"/>
        <w:spacing w:after="70"/>
        <w:ind w:left="720" w:hanging="360"/>
        <w:widowControl w:val="1"/>
      </w:pPr>
      <w:r>
        <w:t>Russian Yandex and Nebius have been legally separate groups since July 2024. Post-divestment conduct or ownership developments at Russian Yandex are not attributable to Nebius without evidence of a clear continuing connection.</w:t>
      </w:r>
    </w:p>
    <w:p>
      <w:pPr>
        <w:pStyle w:val="Heading1"/>
        <w:pageBreakBefore/>
      </w:pPr>
      <w:r>
        <w:t>Detailed findings</w:t>
      </w:r>
    </w:p>
    <w:p>
      <w:pPr>
        <w:pStyle w:val="Heading2"/>
      </w:pPr>
      <w:r>
        <w:t>Table of contents</w:t>
      </w:r>
    </w:p>
    <w:p>
      <w:pPr/>
      <w:r>
        <w:t>The detailed findings explain what the evidence shows, what remains uncertain and why each issue matters.</w:t>
      </w:r>
    </w:p>
    <w:tbl>
      <w:tblPr>
        <w:tblW w:type="dxa" w:w="9840"/>
        <w:tblLayout w:type="fixed"/>
        <w:tblLook w:firstColumn="1" w:firstRow="1" w:lastColumn="0" w:lastRow="0" w:noHBand="0" w:noVBand="1" w:val="04A0"/>
      </w:tblPr>
      <w:tblGrid>
        <w:gridCol w:w="8840"/>
        <w:gridCol w:w="1000"/>
      </w:tblGrid>
      <w:tr>
        <w:trPr>
          <w:cantSplit/>
          <w:tblHeader/>
        </w:trPr>
        <w:tc>
          <w:tcPr>
            <w:tcW w:type="dxa" w:w="8840"/>
            <w:vAlign w:val="center"/>
            <w:shd w:fill="123F37"/>
          </w:tcPr>
          <w:p>
            <w:pPr>
              <w:spacing w:before="0" w:after="0" w:line="252" w:lineRule="auto"/>
            </w:pPr>
            <w:r>
              <w:rPr>
                <w:b/>
                <w:color w:val="FFFFFF"/>
              </w:rPr>
            </w:r>
            <w:r>
              <w:rPr>
                <w:rFonts w:ascii="Aptos" w:hAnsi="Aptos"/>
                <w:b/>
                <w:sz w:val="19"/>
                <w:color w:val="FFFFFF"/>
              </w:rPr>
              <w:t>Section</w:t>
            </w:r>
          </w:p>
        </w:tc>
        <w:tc>
          <w:tcPr>
            <w:tcW w:type="dxa" w:w="1000"/>
            <w:vAlign w:val="center"/>
            <w:shd w:fill="123F37"/>
          </w:tcPr>
          <w:p>
            <w:pPr>
              <w:spacing w:before="0" w:after="0" w:line="252" w:lineRule="auto"/>
            </w:pPr>
            <w:r>
              <w:rPr>
                <w:b/>
                <w:color w:val="FFFFFF"/>
              </w:rPr>
            </w:r>
            <w:r>
              <w:rPr>
                <w:rFonts w:ascii="Aptos" w:hAnsi="Aptos"/>
                <w:b/>
                <w:sz w:val="19"/>
                <w:color w:val="FFFFFF"/>
              </w:rPr>
              <w:t>Page</w:t>
            </w:r>
          </w:p>
        </w:tc>
      </w:tr>
      <w:tr>
        <w:trPr>
          <w:cantSplit/>
        </w:trPr>
        <w:tc>
          <w:tcPr>
            <w:tcW w:type="dxa" w:w="8840"/>
            <w:vAlign w:val="center"/>
          </w:tcPr>
          <w:p>
            <w:pPr>
              <w:spacing w:before="0" w:after="0" w:line="252" w:lineRule="auto"/>
            </w:pPr>
            <w:r/>
            <w:r>
              <w:rPr>
                <w:rFonts w:ascii="Aptos" w:hAnsi="Aptos"/>
                <w:sz w:val="19"/>
              </w:rPr>
              <w:t>Scope and sources</w:t>
            </w:r>
          </w:p>
        </w:tc>
        <w:tc>
          <w:tcPr>
            <w:tcW w:type="dxa" w:w="1000"/>
            <w:vAlign w:val="center"/>
          </w:tcPr>
          <w:p>
            <w:pPr>
              <w:spacing w:before="0" w:after="0" w:line="252" w:lineRule="auto"/>
              <w:jc w:val="center"/>
            </w:pPr>
            <w:r/>
            <w:r>
              <w:rPr>
                <w:rFonts w:ascii="Aptos" w:hAnsi="Aptos"/>
                <w:sz w:val="19"/>
              </w:rPr>
              <w:t>6</w:t>
            </w:r>
          </w:p>
        </w:tc>
      </w:tr>
      <w:tr>
        <w:trPr>
          <w:cantSplit/>
        </w:trPr>
        <w:tc>
          <w:tcPr>
            <w:tcW w:type="dxa" w:w="8840"/>
            <w:vAlign w:val="center"/>
            <w:shd w:fill="E9F2EF"/>
          </w:tcPr>
          <w:p>
            <w:pPr>
              <w:spacing w:before="0" w:after="0" w:line="252" w:lineRule="auto"/>
            </w:pPr>
            <w:r/>
            <w:r>
              <w:rPr>
                <w:rFonts w:ascii="Aptos" w:hAnsi="Aptos"/>
                <w:sz w:val="19"/>
              </w:rPr>
              <w:t>Important factual clarifications</w:t>
            </w:r>
          </w:p>
        </w:tc>
        <w:tc>
          <w:tcPr>
            <w:tcW w:type="dxa" w:w="1000"/>
            <w:vAlign w:val="center"/>
            <w:shd w:fill="E9F2EF"/>
          </w:tcPr>
          <w:p>
            <w:pPr>
              <w:spacing w:before="0" w:after="0" w:line="252" w:lineRule="auto"/>
              <w:jc w:val="center"/>
            </w:pPr>
            <w:r/>
            <w:r>
              <w:rPr>
                <w:rFonts w:ascii="Aptos" w:hAnsi="Aptos"/>
                <w:sz w:val="19"/>
              </w:rPr>
              <w:t>7</w:t>
            </w:r>
          </w:p>
        </w:tc>
      </w:tr>
      <w:tr>
        <w:trPr>
          <w:cantSplit/>
        </w:trPr>
        <w:tc>
          <w:tcPr>
            <w:tcW w:type="dxa" w:w="8840"/>
            <w:vAlign w:val="center"/>
          </w:tcPr>
          <w:p>
            <w:pPr>
              <w:spacing w:before="0" w:after="0" w:line="252" w:lineRule="auto"/>
            </w:pPr>
            <w:r/>
            <w:r>
              <w:rPr>
                <w:rFonts w:ascii="Aptos" w:hAnsi="Aptos"/>
                <w:sz w:val="19"/>
              </w:rPr>
              <w:t>Identity and subject profile</w:t>
            </w:r>
          </w:p>
        </w:tc>
        <w:tc>
          <w:tcPr>
            <w:tcW w:type="dxa" w:w="1000"/>
            <w:vAlign w:val="center"/>
          </w:tcPr>
          <w:p>
            <w:pPr>
              <w:spacing w:before="0" w:after="0" w:line="252" w:lineRule="auto"/>
              <w:jc w:val="center"/>
            </w:pPr>
            <w:r/>
            <w:r>
              <w:rPr>
                <w:rFonts w:ascii="Aptos" w:hAnsi="Aptos"/>
                <w:sz w:val="19"/>
              </w:rPr>
              <w:t>7</w:t>
            </w:r>
          </w:p>
        </w:tc>
      </w:tr>
      <w:tr>
        <w:trPr>
          <w:cantSplit/>
        </w:trPr>
        <w:tc>
          <w:tcPr>
            <w:tcW w:type="dxa" w:w="8840"/>
            <w:vAlign w:val="center"/>
            <w:shd w:fill="E9F2EF"/>
          </w:tcPr>
          <w:p>
            <w:pPr>
              <w:spacing w:before="0" w:after="0" w:line="252" w:lineRule="auto"/>
            </w:pPr>
            <w:r/>
            <w:r>
              <w:rPr>
                <w:rFonts w:ascii="Aptos" w:hAnsi="Aptos"/>
                <w:sz w:val="19"/>
              </w:rPr>
              <w:t>Company relationships and separation</w:t>
            </w:r>
          </w:p>
        </w:tc>
        <w:tc>
          <w:tcPr>
            <w:tcW w:type="dxa" w:w="1000"/>
            <w:vAlign w:val="center"/>
            <w:shd w:fill="E9F2EF"/>
          </w:tcPr>
          <w:p>
            <w:pPr>
              <w:spacing w:before="0" w:after="0" w:line="252" w:lineRule="auto"/>
              <w:jc w:val="center"/>
            </w:pPr>
            <w:r/>
            <w:r>
              <w:rPr>
                <w:rFonts w:ascii="Aptos" w:hAnsi="Aptos"/>
                <w:sz w:val="19"/>
              </w:rPr>
              <w:t>8</w:t>
            </w:r>
          </w:p>
        </w:tc>
      </w:tr>
      <w:tr>
        <w:trPr>
          <w:cantSplit/>
        </w:trPr>
        <w:tc>
          <w:tcPr>
            <w:tcW w:type="dxa" w:w="8840"/>
            <w:vAlign w:val="center"/>
          </w:tcPr>
          <w:p>
            <w:pPr>
              <w:spacing w:before="0" w:after="0" w:line="252" w:lineRule="auto"/>
            </w:pPr>
            <w:r/>
            <w:r>
              <w:rPr>
                <w:rFonts w:ascii="Aptos" w:hAnsi="Aptos"/>
                <w:sz w:val="19"/>
              </w:rPr>
              <w:t>Chronology of important events</w:t>
            </w:r>
          </w:p>
        </w:tc>
        <w:tc>
          <w:tcPr>
            <w:tcW w:type="dxa" w:w="1000"/>
            <w:vAlign w:val="center"/>
          </w:tcPr>
          <w:p>
            <w:pPr>
              <w:spacing w:before="0" w:after="0" w:line="252" w:lineRule="auto"/>
              <w:jc w:val="center"/>
            </w:pPr>
            <w:r/>
            <w:r>
              <w:rPr>
                <w:rFonts w:ascii="Aptos" w:hAnsi="Aptos"/>
                <w:sz w:val="19"/>
              </w:rPr>
              <w:t>9</w:t>
            </w:r>
          </w:p>
        </w:tc>
      </w:tr>
      <w:tr>
        <w:trPr>
          <w:cantSplit/>
        </w:trPr>
        <w:tc>
          <w:tcPr>
            <w:tcW w:type="dxa" w:w="8840"/>
            <w:vAlign w:val="center"/>
            <w:shd w:fill="E9F2EF"/>
          </w:tcPr>
          <w:p>
            <w:pPr>
              <w:spacing w:before="0" w:after="0" w:line="252" w:lineRule="auto"/>
            </w:pPr>
            <w:r/>
            <w:r>
              <w:rPr>
                <w:rFonts w:ascii="Aptos" w:hAnsi="Aptos"/>
                <w:sz w:val="19"/>
              </w:rPr>
              <w:t>Sanctions and geopolitical exposure</w:t>
            </w:r>
          </w:p>
        </w:tc>
        <w:tc>
          <w:tcPr>
            <w:tcW w:type="dxa" w:w="1000"/>
            <w:vAlign w:val="center"/>
            <w:shd w:fill="E9F2EF"/>
          </w:tcPr>
          <w:p>
            <w:pPr>
              <w:spacing w:before="0" w:after="0" w:line="252" w:lineRule="auto"/>
              <w:jc w:val="center"/>
            </w:pPr>
            <w:r/>
            <w:r>
              <w:rPr>
                <w:rFonts w:ascii="Aptos" w:hAnsi="Aptos"/>
                <w:sz w:val="19"/>
              </w:rPr>
              <w:t>10</w:t>
            </w:r>
          </w:p>
        </w:tc>
      </w:tr>
      <w:tr>
        <w:trPr>
          <w:cantSplit/>
        </w:trPr>
        <w:tc>
          <w:tcPr>
            <w:tcW w:type="dxa" w:w="8840"/>
            <w:vAlign w:val="center"/>
          </w:tcPr>
          <w:p>
            <w:pPr>
              <w:spacing w:before="0" w:after="0" w:line="252" w:lineRule="auto"/>
            </w:pPr>
            <w:r/>
            <w:r>
              <w:rPr>
                <w:rFonts w:ascii="Aptos" w:hAnsi="Aptos"/>
                <w:sz w:val="19"/>
              </w:rPr>
              <w:t>Yandex: legacy exposure under Volozh</w:t>
            </w:r>
          </w:p>
        </w:tc>
        <w:tc>
          <w:tcPr>
            <w:tcW w:type="dxa" w:w="1000"/>
            <w:vAlign w:val="center"/>
          </w:tcPr>
          <w:p>
            <w:pPr>
              <w:spacing w:before="0" w:after="0" w:line="252" w:lineRule="auto"/>
              <w:jc w:val="center"/>
            </w:pPr>
            <w:r/>
            <w:r>
              <w:rPr>
                <w:rFonts w:ascii="Aptos" w:hAnsi="Aptos"/>
                <w:sz w:val="19"/>
              </w:rPr>
              <w:t>11</w:t>
            </w:r>
          </w:p>
        </w:tc>
      </w:tr>
      <w:tr>
        <w:trPr>
          <w:cantSplit/>
        </w:trPr>
        <w:tc>
          <w:tcPr>
            <w:tcW w:type="dxa" w:w="8840"/>
            <w:vAlign w:val="center"/>
            <w:shd w:fill="E9F2EF"/>
          </w:tcPr>
          <w:p>
            <w:pPr>
              <w:spacing w:before="0" w:after="0" w:line="252" w:lineRule="auto"/>
            </w:pPr>
            <w:r/>
            <w:r>
              <w:rPr>
                <w:rFonts w:ascii="Aptos" w:hAnsi="Aptos"/>
                <w:sz w:val="19"/>
              </w:rPr>
              <w:t>The 2024 sale of Russian businesses</w:t>
            </w:r>
          </w:p>
        </w:tc>
        <w:tc>
          <w:tcPr>
            <w:tcW w:type="dxa" w:w="1000"/>
            <w:vAlign w:val="center"/>
            <w:shd w:fill="E9F2EF"/>
          </w:tcPr>
          <w:p>
            <w:pPr>
              <w:spacing w:before="0" w:after="0" w:line="252" w:lineRule="auto"/>
              <w:jc w:val="center"/>
            </w:pPr>
            <w:r/>
            <w:r>
              <w:rPr>
                <w:rFonts w:ascii="Aptos" w:hAnsi="Aptos"/>
                <w:sz w:val="19"/>
              </w:rPr>
              <w:t>12</w:t>
            </w:r>
          </w:p>
        </w:tc>
      </w:tr>
      <w:tr>
        <w:trPr>
          <w:cantSplit/>
        </w:trPr>
        <w:tc>
          <w:tcPr>
            <w:tcW w:type="dxa" w:w="8840"/>
            <w:vAlign w:val="center"/>
          </w:tcPr>
          <w:p>
            <w:pPr>
              <w:spacing w:before="0" w:after="0" w:line="252" w:lineRule="auto"/>
            </w:pPr>
            <w:r/>
            <w:r>
              <w:rPr>
                <w:rFonts w:ascii="Aptos" w:hAnsi="Aptos"/>
                <w:sz w:val="19"/>
              </w:rPr>
              <w:t>Nebius Group N.V.: current profile</w:t>
            </w:r>
          </w:p>
        </w:tc>
        <w:tc>
          <w:tcPr>
            <w:tcW w:type="dxa" w:w="1000"/>
            <w:vAlign w:val="center"/>
          </w:tcPr>
          <w:p>
            <w:pPr>
              <w:spacing w:before="0" w:after="0" w:line="252" w:lineRule="auto"/>
              <w:jc w:val="center"/>
            </w:pPr>
            <w:r/>
            <w:r>
              <w:rPr>
                <w:rFonts w:ascii="Aptos" w:hAnsi="Aptos"/>
                <w:sz w:val="19"/>
              </w:rPr>
              <w:t>13</w:t>
            </w:r>
          </w:p>
        </w:tc>
      </w:tr>
      <w:tr>
        <w:trPr>
          <w:cantSplit/>
        </w:trPr>
        <w:tc>
          <w:tcPr>
            <w:tcW w:type="dxa" w:w="8840"/>
            <w:vAlign w:val="center"/>
            <w:shd w:fill="E9F2EF"/>
          </w:tcPr>
          <w:p>
            <w:pPr>
              <w:spacing w:before="0" w:after="0" w:line="252" w:lineRule="auto"/>
            </w:pPr>
            <w:r/>
            <w:r>
              <w:rPr>
                <w:rFonts w:ascii="Aptos" w:hAnsi="Aptos"/>
                <w:sz w:val="19"/>
              </w:rPr>
              <w:t>Important developments in 2026</w:t>
            </w:r>
          </w:p>
        </w:tc>
        <w:tc>
          <w:tcPr>
            <w:tcW w:type="dxa" w:w="1000"/>
            <w:vAlign w:val="center"/>
            <w:shd w:fill="E9F2EF"/>
          </w:tcPr>
          <w:p>
            <w:pPr>
              <w:spacing w:before="0" w:after="0" w:line="252" w:lineRule="auto"/>
              <w:jc w:val="center"/>
            </w:pPr>
            <w:r/>
            <w:r>
              <w:rPr>
                <w:rFonts w:ascii="Aptos" w:hAnsi="Aptos"/>
                <w:sz w:val="19"/>
              </w:rPr>
              <w:t>14</w:t>
            </w:r>
          </w:p>
        </w:tc>
      </w:tr>
      <w:tr>
        <w:trPr>
          <w:cantSplit/>
        </w:trPr>
        <w:tc>
          <w:tcPr>
            <w:tcW w:type="dxa" w:w="8840"/>
            <w:vAlign w:val="center"/>
          </w:tcPr>
          <w:p>
            <w:pPr>
              <w:spacing w:before="0" w:after="0" w:line="252" w:lineRule="auto"/>
            </w:pPr>
            <w:r/>
            <w:r>
              <w:rPr>
                <w:rFonts w:ascii="Aptos" w:hAnsi="Aptos"/>
                <w:sz w:val="19"/>
              </w:rPr>
              <w:t>Toloka: current profile and legacy risk</w:t>
            </w:r>
          </w:p>
        </w:tc>
        <w:tc>
          <w:tcPr>
            <w:tcW w:type="dxa" w:w="1000"/>
            <w:vAlign w:val="center"/>
          </w:tcPr>
          <w:p>
            <w:pPr>
              <w:spacing w:before="0" w:after="0" w:line="252" w:lineRule="auto"/>
              <w:jc w:val="center"/>
            </w:pPr>
            <w:r/>
            <w:r>
              <w:rPr>
                <w:rFonts w:ascii="Aptos" w:hAnsi="Aptos"/>
                <w:sz w:val="19"/>
              </w:rPr>
              <w:t>17</w:t>
            </w:r>
          </w:p>
        </w:tc>
      </w:tr>
      <w:tr>
        <w:trPr>
          <w:cantSplit/>
        </w:trPr>
        <w:tc>
          <w:tcPr>
            <w:tcW w:type="dxa" w:w="8840"/>
            <w:vAlign w:val="center"/>
            <w:shd w:fill="E9F2EF"/>
          </w:tcPr>
          <w:p>
            <w:pPr>
              <w:spacing w:before="0" w:after="0" w:line="252" w:lineRule="auto"/>
            </w:pPr>
            <w:r/>
            <w:r>
              <w:rPr>
                <w:rFonts w:ascii="Aptos" w:hAnsi="Aptos"/>
                <w:sz w:val="19"/>
              </w:rPr>
              <w:t>Source of wealth and source of funds</w:t>
            </w:r>
          </w:p>
        </w:tc>
        <w:tc>
          <w:tcPr>
            <w:tcW w:type="dxa" w:w="1000"/>
            <w:vAlign w:val="center"/>
            <w:shd w:fill="E9F2EF"/>
          </w:tcPr>
          <w:p>
            <w:pPr>
              <w:spacing w:before="0" w:after="0" w:line="252" w:lineRule="auto"/>
              <w:jc w:val="center"/>
            </w:pPr>
            <w:r/>
            <w:r>
              <w:rPr>
                <w:rFonts w:ascii="Aptos" w:hAnsi="Aptos"/>
                <w:sz w:val="19"/>
              </w:rPr>
              <w:t>19</w:t>
            </w:r>
          </w:p>
        </w:tc>
      </w:tr>
      <w:tr>
        <w:trPr>
          <w:cantSplit/>
        </w:trPr>
        <w:tc>
          <w:tcPr>
            <w:tcW w:type="dxa" w:w="8840"/>
            <w:vAlign w:val="center"/>
          </w:tcPr>
          <w:p>
            <w:pPr>
              <w:spacing w:before="0" w:after="0" w:line="252" w:lineRule="auto"/>
            </w:pPr>
            <w:r/>
            <w:r>
              <w:rPr>
                <w:rFonts w:ascii="Aptos" w:hAnsi="Aptos"/>
                <w:sz w:val="19"/>
              </w:rPr>
              <w:t>Overall findings and risk assessment</w:t>
            </w:r>
          </w:p>
        </w:tc>
        <w:tc>
          <w:tcPr>
            <w:tcW w:type="dxa" w:w="1000"/>
            <w:vAlign w:val="center"/>
          </w:tcPr>
          <w:p>
            <w:pPr>
              <w:spacing w:before="0" w:after="0" w:line="252" w:lineRule="auto"/>
              <w:jc w:val="center"/>
            </w:pPr>
            <w:r/>
            <w:r>
              <w:rPr>
                <w:rFonts w:ascii="Aptos" w:hAnsi="Aptos"/>
                <w:sz w:val="19"/>
              </w:rPr>
              <w:t>19</w:t>
            </w:r>
          </w:p>
        </w:tc>
      </w:tr>
      <w:tr>
        <w:trPr>
          <w:cantSplit/>
        </w:trPr>
        <w:tc>
          <w:tcPr>
            <w:tcW w:type="dxa" w:w="8840"/>
            <w:vAlign w:val="center"/>
            <w:shd w:fill="E9F2EF"/>
          </w:tcPr>
          <w:p>
            <w:pPr>
              <w:spacing w:before="0" w:after="0" w:line="252" w:lineRule="auto"/>
            </w:pPr>
            <w:r/>
            <w:r>
              <w:rPr>
                <w:rFonts w:ascii="Aptos" w:hAnsi="Aptos"/>
                <w:sz w:val="19"/>
              </w:rPr>
              <w:t>Information not fully confirmed</w:t>
            </w:r>
          </w:p>
        </w:tc>
        <w:tc>
          <w:tcPr>
            <w:tcW w:type="dxa" w:w="1000"/>
            <w:vAlign w:val="center"/>
            <w:shd w:fill="E9F2EF"/>
          </w:tcPr>
          <w:p>
            <w:pPr>
              <w:spacing w:before="0" w:after="0" w:line="252" w:lineRule="auto"/>
              <w:jc w:val="center"/>
            </w:pPr>
            <w:r/>
            <w:r>
              <w:rPr>
                <w:rFonts w:ascii="Aptos" w:hAnsi="Aptos"/>
                <w:sz w:val="19"/>
              </w:rPr>
              <w:t>25</w:t>
            </w:r>
          </w:p>
        </w:tc>
      </w:tr>
      <w:tr>
        <w:trPr>
          <w:cantSplit/>
        </w:trPr>
        <w:tc>
          <w:tcPr>
            <w:tcW w:type="dxa" w:w="8840"/>
            <w:vAlign w:val="center"/>
          </w:tcPr>
          <w:p>
            <w:pPr>
              <w:spacing w:before="0" w:after="0" w:line="252" w:lineRule="auto"/>
            </w:pPr>
            <w:r/>
            <w:r>
              <w:rPr>
                <w:rFonts w:ascii="Aptos" w:hAnsi="Aptos"/>
                <w:sz w:val="19"/>
              </w:rPr>
              <w:t>Sources</w:t>
            </w:r>
          </w:p>
        </w:tc>
        <w:tc>
          <w:tcPr>
            <w:tcW w:type="dxa" w:w="1000"/>
            <w:vAlign w:val="center"/>
          </w:tcPr>
          <w:p>
            <w:pPr>
              <w:spacing w:before="0" w:after="0" w:line="252" w:lineRule="auto"/>
              <w:jc w:val="center"/>
            </w:pPr>
            <w:r/>
            <w:r>
              <w:rPr>
                <w:rFonts w:ascii="Aptos" w:hAnsi="Aptos"/>
                <w:sz w:val="19"/>
              </w:rPr>
              <w:t>26</w:t>
            </w:r>
          </w:p>
        </w:tc>
      </w:tr>
      <w:tr>
        <w:trPr>
          <w:cantSplit/>
        </w:trPr>
        <w:tc>
          <w:tcPr>
            <w:tcW w:type="dxa" w:w="8840"/>
            <w:vAlign w:val="center"/>
            <w:shd w:fill="E9F2EF"/>
          </w:tcPr>
          <w:p>
            <w:pPr>
              <w:spacing w:before="0" w:after="0" w:line="252" w:lineRule="auto"/>
            </w:pPr>
            <w:r/>
            <w:r>
              <w:rPr>
                <w:rFonts w:ascii="Aptos" w:hAnsi="Aptos"/>
                <w:sz w:val="19"/>
              </w:rPr>
              <w:t>Method, limitations and legal caution</w:t>
            </w:r>
          </w:p>
        </w:tc>
        <w:tc>
          <w:tcPr>
            <w:tcW w:type="dxa" w:w="1000"/>
            <w:vAlign w:val="center"/>
            <w:shd w:fill="E9F2EF"/>
          </w:tcPr>
          <w:p>
            <w:pPr>
              <w:spacing w:before="0" w:after="0" w:line="252" w:lineRule="auto"/>
              <w:jc w:val="center"/>
            </w:pPr>
            <w:r/>
            <w:r>
              <w:rPr>
                <w:rFonts w:ascii="Aptos" w:hAnsi="Aptos"/>
                <w:sz w:val="19"/>
              </w:rPr>
              <w:t>28</w:t>
            </w:r>
          </w:p>
        </w:tc>
      </w:tr>
    </w:tbl>
    <w:p>
      <w:pPr>
        <w:pStyle w:val="Heading1"/>
        <w:pageBreakBefore/>
        <w:widowControl w:val="1"/>
      </w:pPr>
      <w:r>
        <w:t>Scope and sources</w:t>
      </w:r>
    </w:p>
    <w:p>
      <w:pPr>
        <w:widowControl w:val="1"/>
      </w:pPr>
      <w:r>
        <w:t>The two subjects of this review are Nebius Group N.V. and Arkady Volozh. Yandex, Toloka, Avride and other connected entities are included only where the public evidence shows a clear and important historical, ownership, management, operational or reputational connection to either subject. The report separates facts supported by official records, facts reported by reliable news organisations, allegations, conclusions drawn from the available facts and points that could not be confirmed.</w:t>
      </w:r>
    </w:p>
    <w:p>
      <w:pPr>
        <w:pStyle w:val="Heading2"/>
        <w:widowControl w:val="1"/>
      </w:pPr>
      <w:r>
        <w:t>Evidence labels</w:t>
      </w:r>
    </w:p>
    <w:tbl>
      <w:tblPr>
        <w:tblW w:type="dxa" w:w="9360"/>
        <w:jc w:val="left"/>
        <w:tblLayout w:type="fixed"/>
        <w:tblLook w:firstColumn="1" w:firstRow="1" w:lastColumn="0" w:lastRow="0" w:noHBand="0" w:noVBand="1" w:val="04A0"/>
        <w:tblInd w:w="120" w:type="dxa"/>
      </w:tblPr>
      <w:tblGrid>
        <w:gridCol w:w="1450"/>
        <w:gridCol w:w="4200"/>
        <w:gridCol w:w="3710"/>
      </w:tblGrid>
      <w:tr>
        <w:trPr>
          <w:tblHeader w:val="true"/>
          <w:cantSplit/>
        </w:trPr>
        <w:tc>
          <w:tcPr>
            <w:tcW w:type="dxa" w:w="145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7"/>
              </w:rPr>
              <w:t>Label</w:t>
            </w:r>
          </w:p>
        </w:tc>
        <w:tc>
          <w:tcPr>
            <w:tcW w:type="dxa" w:w="420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7"/>
              </w:rPr>
              <w:t>Meaning</w:t>
            </w:r>
          </w:p>
        </w:tc>
        <w:tc>
          <w:tcPr>
            <w:tcW w:type="dxa" w:w="3710"/>
            <w:shd w:fill="123F3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Pr>
                <w:b/>
                <w:color w:val="FFFFFF"/>
              </w:rPr>
            </w:r>
            <w:r>
              <w:rPr>
                <w:rFonts w:ascii="Aptos" w:hAnsi="Aptos"/>
                <w:b/>
                <w:sz w:val="19"/>
                <w:color w:val="FFFFFF"/>
              </w:rPr>
              <w:t>How to read it</w:t>
            </w:r>
          </w:p>
        </w:tc>
      </w:tr>
      <w:tr>
        <w:trPr>
          <w:cantSplit/>
        </w:trPr>
        <w:tc>
          <w:tcPr>
            <w:tcW w:type="dxa" w:w="145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Verified fact</w:t>
            </w:r>
          </w:p>
        </w:tc>
        <w:tc>
          <w:tcPr>
            <w:tcW w:type="dxa" w:w="420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Supported by an official record or a filing made directly by the company.</w:t>
            </w:r>
          </w:p>
        </w:tc>
        <w:tc>
          <w:tcPr>
            <w:tcW w:type="dxa" w:w="37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This carries the greatest weight, but only for the date and matters covered by that record.</w:t>
            </w:r>
          </w:p>
        </w:tc>
      </w:tr>
      <w:tr>
        <w:trPr>
          <w:cantSplit/>
        </w:trPr>
        <w:tc>
          <w:tcPr>
            <w:tcW w:type="dxa" w:w="145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Reported fact</w:t>
            </w:r>
          </w:p>
        </w:tc>
        <w:tc>
          <w:tcPr>
            <w:tcW w:type="dxa" w:w="420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Reported by a reliable news organisation, but the underlying official record was not obtained for this review.</w:t>
            </w:r>
          </w:p>
        </w:tc>
        <w:tc>
          <w:tcPr>
            <w:tcW w:type="dxa" w:w="371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Relevant information, but not independently confirmed from an official record in this review.</w:t>
            </w:r>
          </w:p>
        </w:tc>
      </w:tr>
      <w:tr>
        <w:trPr>
          <w:cantSplit/>
        </w:trPr>
        <w:tc>
          <w:tcPr>
            <w:tcW w:type="dxa" w:w="145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Allegation</w:t>
            </w:r>
          </w:p>
        </w:tc>
        <w:tc>
          <w:tcPr>
            <w:tcW w:type="dxa" w:w="420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A claim made by journalists, authorities or another third party; it may be disputed.</w:t>
            </w:r>
          </w:p>
        </w:tc>
        <w:tc>
          <w:tcPr>
            <w:tcW w:type="dxa" w:w="37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It is not treated as proven wrongdoing.</w:t>
            </w:r>
          </w:p>
        </w:tc>
      </w:tr>
      <w:tr>
        <w:trPr>
          <w:cantSplit/>
        </w:trPr>
        <w:tc>
          <w:tcPr>
            <w:tcW w:type="dxa" w:w="145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Inference</w:t>
            </w:r>
          </w:p>
        </w:tc>
        <w:tc>
          <w:tcPr>
            <w:tcW w:type="dxa" w:w="420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A conclusion drawn from the available facts.</w:t>
            </w:r>
          </w:p>
        </w:tc>
        <w:tc>
          <w:tcPr>
            <w:tcW w:type="dxa" w:w="371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This is the report’s interpretation, not a fact stated by a source.</w:t>
            </w:r>
          </w:p>
        </w:tc>
      </w:tr>
      <w:tr>
        <w:trPr>
          <w:cantSplit/>
        </w:trPr>
        <w:tc>
          <w:tcPr>
            <w:tcW w:type="dxa" w:w="145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Evidence gap</w:t>
            </w:r>
          </w:p>
        </w:tc>
        <w:tc>
          <w:tcPr>
            <w:tcW w:type="dxa" w:w="420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Information could not be confirmed or available records do not agree.</w:t>
            </w:r>
          </w:p>
        </w:tc>
        <w:tc>
          <w:tcPr>
            <w:tcW w:type="dxa" w:w="37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This reduces confidence or leaves an important question unanswered.</w:t>
            </w:r>
          </w:p>
        </w:tc>
      </w:tr>
    </w:tbl>
    <w:p>
      <w:pPr>
        <w:spacing w:after="0"/>
        <w:widowControl w:val="1"/>
      </w:pPr>
    </w:p>
    <w:p>
      <w:pPr>
        <w:pStyle w:val="Heading2"/>
        <w:widowControl w:val="1"/>
      </w:pPr>
      <w:r>
        <w:t>Evidence hierarchy</w:t>
      </w:r>
    </w:p>
    <w:p>
      <w:pPr>
        <w:pStyle w:val="ListNumber"/>
        <w:spacing w:after="80"/>
        <w:ind w:left="720" w:hanging="360"/>
        <w:widowControl w:val="1"/>
      </w:pPr>
      <w:r>
        <w:rPr>
          <w:rFonts w:ascii="Aptos" w:hAnsi="Aptos"/>
          <w:b w:val="0"/>
          <w:i w:val="0"/>
          <w:color w:val="17221F"/>
          <w:sz w:val="20"/>
        </w:rPr>
        <w:t>Legislation, sanctions instruments, court records and regulator filings.</w:t>
      </w:r>
    </w:p>
    <w:p>
      <w:pPr>
        <w:pStyle w:val="ListNumber"/>
        <w:spacing w:after="80"/>
        <w:ind w:left="720" w:hanging="360"/>
        <w:widowControl w:val="1"/>
      </w:pPr>
      <w:r>
        <w:rPr>
          <w:rFonts w:ascii="Aptos" w:hAnsi="Aptos"/>
          <w:b w:val="0"/>
          <w:i w:val="0"/>
          <w:color w:val="17221F"/>
          <w:sz w:val="20"/>
        </w:rPr>
        <w:t>Audited accounts, SEC filings, shareholder circulars and official company notices.</w:t>
      </w:r>
    </w:p>
    <w:p>
      <w:pPr>
        <w:pStyle w:val="ListNumber"/>
        <w:spacing w:after="80"/>
        <w:ind w:left="720" w:hanging="360"/>
        <w:widowControl w:val="1"/>
      </w:pPr>
      <w:r>
        <w:rPr>
          <w:rFonts w:ascii="Aptos" w:hAnsi="Aptos"/>
          <w:b w:val="0"/>
          <w:i w:val="0"/>
          <w:color w:val="17221F"/>
          <w:sz w:val="20"/>
        </w:rPr>
        <w:t>Reputable international news agencies and investigative journalism with disclosed methodology.</w:t>
      </w:r>
    </w:p>
    <w:p>
      <w:pPr>
        <w:pStyle w:val="ListNumber"/>
        <w:spacing w:after="80"/>
        <w:ind w:left="720" w:hanging="360"/>
        <w:widowControl w:val="1"/>
      </w:pPr>
      <w:r>
        <w:rPr>
          <w:rFonts w:ascii="Aptos" w:hAnsi="Aptos"/>
          <w:b w:val="0"/>
          <w:i w:val="0"/>
          <w:color w:val="17221F"/>
          <w:sz w:val="20"/>
        </w:rPr>
        <w:t>Company websites, biographies and policy statements.</w:t>
      </w:r>
    </w:p>
    <w:p>
      <w:pPr>
        <w:pStyle w:val="ListNumber"/>
        <w:spacing w:after="80"/>
        <w:ind w:left="720" w:hanging="360"/>
        <w:widowControl w:val="1"/>
      </w:pPr>
      <w:r>
        <w:rPr>
          <w:rFonts w:ascii="Aptos" w:hAnsi="Aptos"/>
          <w:b w:val="0"/>
          <w:i w:val="0"/>
          <w:color w:val="17221F"/>
          <w:sz w:val="20"/>
        </w:rPr>
        <w:t>Aggregators and secondary commentary, used only as leads or conflict indicators.</w:t>
      </w:r>
    </w:p>
    <w:p>
      <w:pPr>
        <w:pStyle w:val="RiskMedium"/>
        <w:widowControl w:val="1"/>
      </w:pPr>
      <w:r/>
      <w:r>
        <w:rPr>
          <w:b/>
        </w:rPr>
        <w:t xml:space="preserve">Status limitation  </w:t>
      </w:r>
      <w:r>
        <w:t>Sanctions rules differ between countries and can change quickly. Not finding a person on the lists reviewed does not prove that the person is free from sanctions everywhere.</w:t>
      </w:r>
    </w:p>
    <w:p>
      <w:pPr>
        <w:widowControl w:val="1"/>
      </w:pPr>
      <w:r/>
    </w:p>
    <w:p>
      <w:pPr>
        <w:pStyle w:val="Heading1"/>
        <w:widowControl w:val="1"/>
      </w:pPr>
      <w:r>
        <w:t>Important factual clarifications</w:t>
      </w:r>
    </w:p>
    <w:tbl>
      <w:tblPr>
        <w:tblW w:type="dxa" w:w="9360"/>
        <w:jc w:val="left"/>
        <w:tblLayout w:type="fixed"/>
        <w:tblLook w:firstColumn="1" w:firstRow="1" w:lastColumn="0" w:lastRow="0" w:noHBand="0" w:noVBand="1" w:val="04A0"/>
        <w:tblInd w:w="120" w:type="dxa"/>
      </w:tblPr>
      <w:tblGrid>
        <w:gridCol w:w="2700"/>
        <w:gridCol w:w="5230"/>
        <w:gridCol w:w="1430"/>
      </w:tblGrid>
      <w:tr>
        <w:trPr>
          <w:tblHeader w:val="true"/>
          <w:cantSplit/>
        </w:trPr>
        <w:tc>
          <w:tcPr>
            <w:tcW w:type="dxa" w:w="270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5"/>
              </w:rPr>
              <w:t>Issue assessed</w:t>
            </w:r>
          </w:p>
        </w:tc>
        <w:tc>
          <w:tcPr>
            <w:tcW w:type="dxa" w:w="523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5"/>
              </w:rPr>
              <w:t>Evidence-led finding</w:t>
            </w:r>
          </w:p>
        </w:tc>
        <w:tc>
          <w:tcPr>
            <w:tcW w:type="dxa" w:w="143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5"/>
              </w:rPr>
              <w:t>Confidence</w:t>
            </w:r>
          </w:p>
        </w:tc>
      </w:tr>
      <w:tr>
        <w:trPr>
          <w:cantSplit/>
        </w:trPr>
        <w:tc>
          <w:tcPr>
            <w:tcW w:type="dxa" w:w="27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Timing of Russian citizenship renunciation</w:t>
            </w:r>
          </w:p>
        </w:tc>
        <w:tc>
          <w:tcPr>
            <w:tcW w:type="dxa" w:w="523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Reporting indicates formal confirmation in February 2026, nearly two years after the Russian-asset sale. The available evidence does not support a 2022 renunciation date.</w:t>
            </w:r>
          </w:p>
        </w:tc>
        <w:tc>
          <w:tcPr>
            <w:tcW w:type="dxa" w:w="143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High on timing; primary citizenship record not reviewed.</w:t>
            </w:r>
          </w:p>
        </w:tc>
      </w:tr>
      <w:tr>
        <w:trPr>
          <w:cantSplit/>
        </w:trPr>
        <w:tc>
          <w:tcPr>
            <w:tcW w:type="dxa" w:w="27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Why the EU sanctions ended</w:t>
            </w:r>
          </w:p>
        </w:tc>
        <w:tc>
          <w:tcPr>
            <w:tcW w:type="dxa" w:w="523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The EU did not renew Volozh’s sanctions listing in March 2024. Contemporary reporting referenced Volozh’s anti-war statement and planned divestment; citizenship renunciation had not yet occurred.</w:t>
            </w:r>
          </w:p>
        </w:tc>
        <w:tc>
          <w:tcPr>
            <w:tcW w:type="dxa" w:w="143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High.</w:t>
            </w:r>
          </w:p>
        </w:tc>
      </w:tr>
      <w:tr>
        <w:trPr>
          <w:cantSplit/>
        </w:trPr>
        <w:tc>
          <w:tcPr>
            <w:tcW w:type="dxa" w:w="27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Appeal or exoneration status</w:t>
            </w:r>
          </w:p>
        </w:tc>
        <w:tc>
          <w:tcPr>
            <w:tcW w:type="dxa" w:w="523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No judgment exonerating Volozh was identified. Non-renewal of a time-limited listing is legally distinct from a successful court appeal and does not automatically invalidate the historic reasons.</w:t>
            </w:r>
          </w:p>
        </w:tc>
        <w:tc>
          <w:tcPr>
            <w:tcW w:type="dxa" w:w="143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High.</w:t>
            </w:r>
          </w:p>
        </w:tc>
      </w:tr>
      <w:tr>
        <w:trPr>
          <w:cantSplit/>
        </w:trPr>
        <w:tc>
          <w:tcPr>
            <w:tcW w:type="dxa" w:w="27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Reported British nationality</w:t>
            </w:r>
          </w:p>
        </w:tc>
        <w:tc>
          <w:tcPr>
            <w:tcW w:type="dxa" w:w="523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Primary evidence reviewed supports historic Russian and Maltese nationality; Israeli nationality is widely reported. British nationality was not established.</w:t>
            </w:r>
          </w:p>
        </w:tc>
        <w:tc>
          <w:tcPr>
            <w:tcW w:type="dxa" w:w="143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Medium-high.</w:t>
            </w:r>
          </w:p>
        </w:tc>
      </w:tr>
      <w:tr>
        <w:trPr>
          <w:cantSplit/>
        </w:trPr>
        <w:tc>
          <w:tcPr>
            <w:tcW w:type="dxa" w:w="27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Divestment consideration</w:t>
            </w:r>
          </w:p>
        </w:tc>
        <w:tc>
          <w:tcPr>
            <w:tcW w:type="dxa" w:w="523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RUB 475bn was the agreed consideration, approximately $5.2–$5.4bn at reporting dates. $10.2bn was a reference market capitalisation used to illustrate the mandatory 50% discount.</w:t>
            </w:r>
          </w:p>
        </w:tc>
        <w:tc>
          <w:tcPr>
            <w:tcW w:type="dxa" w:w="143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High.</w:t>
            </w:r>
          </w:p>
        </w:tc>
      </w:tr>
      <w:tr>
        <w:trPr>
          <w:cantSplit/>
        </w:trPr>
        <w:tc>
          <w:tcPr>
            <w:tcW w:type="dxa" w:w="27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Purchaser consortium disclosure</w:t>
            </w:r>
          </w:p>
        </w:tc>
        <w:tc>
          <w:tcPr>
            <w:tcW w:type="dxa" w:w="523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The February 2024 company announcement named the management vehicle, Lukoil-owned Argonaut and vehicles owned by Alexander Chachava, Pavel Prass and Alexander Ryazanov.</w:t>
            </w:r>
          </w:p>
        </w:tc>
        <w:tc>
          <w:tcPr>
            <w:tcW w:type="dxa" w:w="143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High.</w:t>
            </w:r>
          </w:p>
        </w:tc>
      </w:tr>
      <w:tr>
        <w:trPr>
          <w:cantSplit/>
        </w:trPr>
        <w:tc>
          <w:tcPr>
            <w:tcW w:type="dxa" w:w="27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Trust and foundation structures</w:t>
            </w:r>
          </w:p>
        </w:tc>
        <w:tc>
          <w:tcPr>
            <w:tcW w:type="dxa" w:w="523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Trusts and foundations can make ownership and control harder to understand. Their use does not by itself show money laundering, terrorist financing or other wrongdoing.</w:t>
            </w:r>
          </w:p>
        </w:tc>
        <w:tc>
          <w:tcPr>
            <w:tcW w:type="dxa" w:w="143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High.</w:t>
            </w:r>
          </w:p>
        </w:tc>
      </w:tr>
      <w:tr>
        <w:trPr>
          <w:cantSplit/>
        </w:trPr>
        <w:tc>
          <w:tcPr>
            <w:tcW w:type="dxa" w:w="27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Amsterdam property dispute</w:t>
            </w:r>
          </w:p>
        </w:tc>
        <w:tc>
          <w:tcPr>
            <w:tcW w:type="dxa" w:w="523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 dispute is unrelated to the main financial-crime concerns, and no clear connection to the central issues in this report was identified.</w:t>
            </w:r>
          </w:p>
        </w:tc>
        <w:tc>
          <w:tcPr>
            <w:tcW w:type="dxa" w:w="143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High.</w:t>
            </w:r>
          </w:p>
        </w:tc>
      </w:tr>
    </w:tbl>
    <w:p>
      <w:pPr>
        <w:spacing w:after="0"/>
        <w:widowControl w:val="1"/>
      </w:pPr>
    </w:p>
    <w:p>
      <w:pPr>
        <w:spacing w:before="0" w:after="100"/>
        <w:widowControl w:val="1"/>
      </w:pPr>
      <w:r>
        <w:rPr>
          <w:rFonts w:ascii="Aptos" w:hAnsi="Aptos"/>
          <w:b w:val="0"/>
          <w:i/>
          <w:color w:val="5B6864"/>
          <w:sz w:val="16"/>
        </w:rPr>
        <w:t>Evidence: [S03], [S04], [S06], [S16], [S25]</w:t>
      </w:r>
    </w:p>
    <w:p>
      <w:pPr>
        <w:widowControl w:val="1"/>
      </w:pPr>
      <w:r/>
    </w:p>
    <w:p>
      <w:pPr>
        <w:pStyle w:val="Heading1"/>
        <w:pageBreakBefore w:val="0"/>
        <w:widowControl w:val="1"/>
      </w:pPr>
      <w:r>
        <w:t>Identity and subject profile</w:t>
      </w:r>
    </w:p>
    <w:tbl>
      <w:tblPr>
        <w:tblW w:type="dxa" w:w="9360"/>
        <w:jc w:val="left"/>
        <w:tblLayout w:type="fixed"/>
        <w:tblLook w:firstColumn="1" w:firstRow="1" w:lastColumn="0" w:lastRow="0" w:noHBand="0" w:noVBand="1" w:val="04A0"/>
        <w:tblInd w:w="120" w:type="dxa"/>
      </w:tblPr>
      <w:tblGrid>
        <w:gridCol w:w="1800"/>
        <w:gridCol w:w="5660"/>
        <w:gridCol w:w="1900"/>
      </w:tblGrid>
      <w:tr>
        <w:trPr>
          <w:tblHeader w:val="true"/>
          <w:cantSplit/>
        </w:trPr>
        <w:tc>
          <w:tcPr>
            <w:tcW w:type="dxa" w:w="180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6"/>
              </w:rPr>
              <w:t>Field</w:t>
            </w:r>
          </w:p>
        </w:tc>
        <w:tc>
          <w:tcPr>
            <w:tcW w:type="dxa" w:w="566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6"/>
              </w:rPr>
              <w:t>Evidence-led position</w:t>
            </w:r>
          </w:p>
        </w:tc>
        <w:tc>
          <w:tcPr>
            <w:tcW w:type="dxa" w:w="190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6"/>
              </w:rPr>
              <w:t>Status</w:t>
            </w:r>
          </w:p>
        </w:tc>
      </w:tr>
      <w:tr>
        <w:trPr>
          <w:cantSplit/>
        </w:trPr>
        <w:tc>
          <w:tcPr>
            <w:tcW w:type="dxa" w:w="18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Full name</w:t>
            </w:r>
          </w:p>
        </w:tc>
        <w:tc>
          <w:tcPr>
            <w:tcW w:type="dxa" w:w="566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Arkady Yurievich Volozh; Russian: Аркадий Юрьевич Волож.</w:t>
            </w:r>
          </w:p>
        </w:tc>
        <w:tc>
          <w:tcPr>
            <w:tcW w:type="dxa" w:w="19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Verified in EU and corporate records.</w:t>
            </w:r>
          </w:p>
        </w:tc>
      </w:tr>
      <w:tr>
        <w:trPr>
          <w:cantSplit/>
        </w:trPr>
        <w:tc>
          <w:tcPr>
            <w:tcW w:type="dxa" w:w="18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Date of birth</w:t>
            </w:r>
          </w:p>
        </w:tc>
        <w:tc>
          <w:tcPr>
            <w:tcW w:type="dxa" w:w="566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11 February 1964.</w:t>
            </w:r>
          </w:p>
        </w:tc>
        <w:tc>
          <w:tcPr>
            <w:tcW w:type="dxa" w:w="19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Verified.</w:t>
            </w:r>
          </w:p>
        </w:tc>
      </w:tr>
      <w:tr>
        <w:trPr>
          <w:cantSplit/>
        </w:trPr>
        <w:tc>
          <w:tcPr>
            <w:tcW w:type="dxa" w:w="18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Place of birth</w:t>
            </w:r>
          </w:p>
        </w:tc>
        <w:tc>
          <w:tcPr>
            <w:tcW w:type="dxa" w:w="566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Atyrau/Guryev, Kazakh SSR, USSR (now Kazakhstan).</w:t>
            </w:r>
          </w:p>
        </w:tc>
        <w:tc>
          <w:tcPr>
            <w:tcW w:type="dxa" w:w="19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Verified.</w:t>
            </w:r>
          </w:p>
        </w:tc>
      </w:tr>
      <w:tr>
        <w:trPr>
          <w:cantSplit/>
        </w:trPr>
        <w:tc>
          <w:tcPr>
            <w:tcW w:type="dxa" w:w="18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Current role</w:t>
            </w:r>
          </w:p>
        </w:tc>
        <w:tc>
          <w:tcPr>
            <w:tcW w:type="dxa" w:w="566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Founder, Chief Executive Officer and Executive Director, Nebius Group N.V.</w:t>
            </w:r>
          </w:p>
        </w:tc>
        <w:tc>
          <w:tcPr>
            <w:tcW w:type="dxa" w:w="19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Verified.</w:t>
            </w:r>
          </w:p>
        </w:tc>
      </w:tr>
      <w:tr>
        <w:trPr>
          <w:cantSplit/>
        </w:trPr>
        <w:tc>
          <w:tcPr>
            <w:tcW w:type="dxa" w:w="18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Historic role</w:t>
            </w:r>
          </w:p>
        </w:tc>
        <w:tc>
          <w:tcPr>
            <w:tcW w:type="dxa" w:w="566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Co-founder and CEO/Executive Director of Yandex N.V. from 2000 until June 2022.</w:t>
            </w:r>
          </w:p>
        </w:tc>
        <w:tc>
          <w:tcPr>
            <w:tcW w:type="dxa" w:w="19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Verified.</w:t>
            </w:r>
          </w:p>
        </w:tc>
      </w:tr>
      <w:tr>
        <w:trPr>
          <w:cantSplit/>
        </w:trPr>
        <w:tc>
          <w:tcPr>
            <w:tcW w:type="dxa" w:w="18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Nationality</w:t>
            </w:r>
          </w:p>
        </w:tc>
        <w:tc>
          <w:tcPr>
            <w:tcW w:type="dxa" w:w="566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Maltese and Israeli reported; Russian citizenship formally renounced in February 2026 according to reporting.</w:t>
            </w:r>
          </w:p>
        </w:tc>
        <w:tc>
          <w:tcPr>
            <w:tcW w:type="dxa" w:w="19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Reported; primary citizenship record not reviewed.</w:t>
            </w:r>
          </w:p>
        </w:tc>
      </w:tr>
      <w:tr>
        <w:trPr>
          <w:cantSplit/>
        </w:trPr>
        <w:tc>
          <w:tcPr>
            <w:tcW w:type="dxa" w:w="18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Residence / base</w:t>
            </w:r>
          </w:p>
        </w:tc>
        <w:tc>
          <w:tcPr>
            <w:tcW w:type="dxa" w:w="566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Long reported as resident in Israel; Nebius headquarters in Amsterdam.</w:t>
            </w:r>
          </w:p>
        </w:tc>
        <w:tc>
          <w:tcPr>
            <w:tcW w:type="dxa" w:w="19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Reported / corporate verified.</w:t>
            </w:r>
          </w:p>
        </w:tc>
      </w:tr>
      <w:tr>
        <w:trPr>
          <w:cantSplit/>
        </w:trPr>
        <w:tc>
          <w:tcPr>
            <w:tcW w:type="dxa" w:w="18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Control vehicle</w:t>
            </w:r>
          </w:p>
        </w:tc>
        <w:tc>
          <w:tcPr>
            <w:tcW w:type="dxa" w:w="566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LASTAR Trust, established by Volozh; Highvern Cayman Limited named as trustee in filings.</w:t>
            </w:r>
          </w:p>
        </w:tc>
        <w:tc>
          <w:tcPr>
            <w:tcW w:type="dxa" w:w="19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Verified in SEC filings.</w:t>
            </w:r>
          </w:p>
        </w:tc>
      </w:tr>
      <w:tr>
        <w:trPr>
          <w:cantSplit/>
        </w:trPr>
        <w:tc>
          <w:tcPr>
            <w:tcW w:type="dxa" w:w="18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Sanctions history</w:t>
            </w:r>
          </w:p>
        </w:tc>
        <w:tc>
          <w:tcPr>
            <w:tcW w:type="dxa" w:w="566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EU sanctions applied from 3 June 2022 until March 2024; Ukrainian sanctions imposed on 19 October 2022 remain active at the review date.</w:t>
            </w:r>
          </w:p>
        </w:tc>
        <w:tc>
          <w:tcPr>
            <w:tcW w:type="dxa" w:w="19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Verified.</w:t>
            </w:r>
          </w:p>
        </w:tc>
      </w:tr>
    </w:tbl>
    <w:p>
      <w:pPr>
        <w:spacing w:after="0"/>
        <w:widowControl w:val="1"/>
      </w:pPr>
    </w:p>
    <w:p>
      <w:pPr>
        <w:spacing w:before="0" w:after="100"/>
        <w:widowControl w:val="1"/>
      </w:pPr>
      <w:r>
        <w:rPr>
          <w:rFonts w:ascii="Aptos" w:hAnsi="Aptos"/>
          <w:b w:val="0"/>
          <w:i/>
          <w:color w:val="5B6864"/>
          <w:sz w:val="16"/>
        </w:rPr>
        <w:t>Evidence: [S02], [S03], [S07], [S09], [S10], [S19], [S25]</w:t>
      </w:r>
    </w:p>
    <w:p>
      <w:pPr>
        <w:pStyle w:val="Heading1"/>
        <w:widowControl w:val="1"/>
      </w:pPr>
      <w:r>
        <w:t>Company relationships and separation</w:t>
      </w:r>
    </w:p>
    <w:tbl>
      <w:tblPr>
        <w:tblW w:type="dxa" w:w="9360"/>
        <w:jc w:val="left"/>
        <w:tblLayout w:type="fixed"/>
        <w:tblLook w:firstColumn="1" w:firstRow="1" w:lastColumn="0" w:lastRow="0" w:noHBand="0" w:noVBand="1" w:val="04A0"/>
        <w:tblInd w:w="120" w:type="dxa"/>
      </w:tblPr>
      <w:tblGrid>
        <w:gridCol w:w="1800"/>
        <w:gridCol w:w="4300"/>
        <w:gridCol w:w="3260"/>
      </w:tblGrid>
      <w:tr>
        <w:trPr>
          <w:tblHeader w:val="true"/>
          <w:cantSplit/>
        </w:trPr>
        <w:tc>
          <w:tcPr>
            <w:tcW w:type="dxa" w:w="180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6"/>
              </w:rPr>
              <w:t>Period / node</w:t>
            </w:r>
          </w:p>
        </w:tc>
        <w:tc>
          <w:tcPr>
            <w:tcW w:type="dxa" w:w="430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6"/>
              </w:rPr>
              <w:t>Relationship</w:t>
            </w:r>
          </w:p>
        </w:tc>
        <w:tc>
          <w:tcPr>
            <w:tcW w:type="dxa" w:w="3260"/>
            <w:shd w:fill="123F3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Pr>
                <w:b/>
                <w:color w:val="FFFFFF"/>
              </w:rPr>
            </w:r>
            <w:r>
              <w:rPr>
                <w:rFonts w:ascii="Aptos" w:hAnsi="Aptos"/>
                <w:b/>
                <w:sz w:val="19"/>
                <w:color w:val="FFFFFF"/>
              </w:rPr>
              <w:t>Why this matters now</w:t>
            </w:r>
          </w:p>
        </w:tc>
      </w:tr>
      <w:tr>
        <w:trPr>
          <w:cantSplit/>
        </w:trPr>
        <w:tc>
          <w:tcPr>
            <w:tcW w:type="dxa" w:w="18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Pre-June 2022</w:t>
            </w:r>
          </w:p>
        </w:tc>
        <w:tc>
          <w:tcPr>
            <w:tcW w:type="dxa" w:w="43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Volozh was founder, CEO, Executive Director and major economic stakeholder of Yandex N.V.</w:t>
            </w:r>
          </w:p>
        </w:tc>
        <w:tc>
          <w:tcPr>
            <w:tcW w:type="dxa" w:w="326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Volozh had a direct management, ownership and control connection to Yandex.</w:t>
            </w:r>
          </w:p>
        </w:tc>
      </w:tr>
      <w:tr>
        <w:trPr>
          <w:cantSplit/>
        </w:trPr>
        <w:tc>
          <w:tcPr>
            <w:tcW w:type="dxa" w:w="18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June 2022–July 2024</w:t>
            </w:r>
          </w:p>
        </w:tc>
        <w:tc>
          <w:tcPr>
            <w:tcW w:type="dxa" w:w="43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Volozh resigned; trust voting instructions were constrained; Yandex N.V. pursued separation.</w:t>
            </w:r>
          </w:p>
        </w:tc>
        <w:tc>
          <w:tcPr>
            <w:tcW w:type="dxa" w:w="326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His past influence remains relevant, but he no longer held the same formal roles.</w:t>
            </w:r>
          </w:p>
        </w:tc>
      </w:tr>
      <w:tr>
        <w:trPr>
          <w:cantSplit/>
        </w:trPr>
        <w:tc>
          <w:tcPr>
            <w:tcW w:type="dxa" w:w="18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July–August 2024</w:t>
            </w:r>
          </w:p>
        </w:tc>
        <w:tc>
          <w:tcPr>
            <w:tcW w:type="dxa" w:w="43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Russian businesses sold to Consortium.First; Yandex N.V. retained four international businesses and became Nebius Group N.V.</w:t>
            </w:r>
          </w:p>
        </w:tc>
        <w:tc>
          <w:tcPr>
            <w:tcW w:type="dxa" w:w="326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This transaction created the main legal separation between Russian Yandex and Nebius.</w:t>
            </w:r>
          </w:p>
        </w:tc>
      </w:tr>
      <w:tr>
        <w:trPr>
          <w:cantSplit/>
        </w:trPr>
        <w:tc>
          <w:tcPr>
            <w:tcW w:type="dxa" w:w="18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From August 2024</w:t>
            </w:r>
          </w:p>
        </w:tc>
        <w:tc>
          <w:tcPr>
            <w:tcW w:type="dxa" w:w="43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Volozh returned as CEO and Executive Director of Nebius.</w:t>
            </w:r>
          </w:p>
        </w:tc>
        <w:tc>
          <w:tcPr>
            <w:tcW w:type="dxa" w:w="326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Nebius now depends significantly on Volozh’s leadership and influence.</w:t>
            </w:r>
          </w:p>
        </w:tc>
      </w:tr>
      <w:tr>
        <w:trPr>
          <w:cantSplit/>
        </w:trPr>
        <w:tc>
          <w:tcPr>
            <w:tcW w:type="dxa" w:w="18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Toloka to Q2 2025</w:t>
            </w:r>
          </w:p>
        </w:tc>
        <w:tc>
          <w:tcPr>
            <w:tcW w:type="dxa" w:w="43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Toloka was a Nebius group business and consolidated subsidiary.</w:t>
            </w:r>
          </w:p>
        </w:tc>
        <w:tc>
          <w:tcPr>
            <w:tcW w:type="dxa" w:w="326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Toloka was then directly part of the Nebius group.</w:t>
            </w:r>
          </w:p>
        </w:tc>
      </w:tr>
      <w:tr>
        <w:trPr>
          <w:cantSplit/>
        </w:trPr>
        <w:tc>
          <w:tcPr>
            <w:tcW w:type="dxa" w:w="18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Toloka after Q2 2025</w:t>
            </w:r>
          </w:p>
        </w:tc>
        <w:tc>
          <w:tcPr>
            <w:tcW w:type="dxa" w:w="43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External investment led by Bezos Expeditions; Nebius lost majority voting control but retained a significant majority economic stake and board links.</w:t>
            </w:r>
          </w:p>
        </w:tc>
        <w:tc>
          <w:tcPr>
            <w:tcW w:type="dxa" w:w="326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Nebius kept an important financial interest and board links, but no longer had majority voting control.</w:t>
            </w:r>
          </w:p>
        </w:tc>
      </w:tr>
      <w:tr>
        <w:trPr>
          <w:cantSplit/>
        </w:trPr>
        <w:tc>
          <w:tcPr>
            <w:tcW w:type="dxa" w:w="18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Yandex after July 2024</w:t>
            </w:r>
          </w:p>
        </w:tc>
        <w:tc>
          <w:tcPr>
            <w:tcW w:type="dxa" w:w="43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Russian-owned Yandex operates independently under a domestic consortium.</w:t>
            </w:r>
          </w:p>
        </w:tc>
        <w:tc>
          <w:tcPr>
            <w:tcW w:type="dxa" w:w="326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Russian Yandex’s later conduct should not be treated as Nebius’s conduct unless evidence shows a continuing connection through ownership, control, services, payments, data or intellectual property.</w:t>
            </w:r>
          </w:p>
        </w:tc>
      </w:tr>
    </w:tbl>
    <w:p>
      <w:pPr>
        <w:spacing w:after="0"/>
        <w:widowControl w:val="1"/>
      </w:pPr>
    </w:p>
    <w:p>
      <w:pPr>
        <w:pStyle w:val="RiskMedium"/>
        <w:widowControl w:val="1"/>
      </w:pPr>
      <w:r/>
      <w:r>
        <w:rPr>
          <w:b/>
        </w:rPr>
        <w:t xml:space="preserve">Ownership and control are not the same.  </w:t>
      </w:r>
      <w:r>
        <w:t>A company may be affected by who receives its profits, who legally owns its shares, who can outvote other shareholders, who appoints directors, who has contractual veto rights and whether it is included in another company’s group accounts. The public record does not fully answer all of these questions for Toloka and the LASTAR Trust.</w:t>
      </w:r>
    </w:p>
    <w:p>
      <w:pPr>
        <w:spacing w:before="0" w:after="100"/>
        <w:widowControl w:val="1"/>
      </w:pPr>
      <w:r>
        <w:rPr>
          <w:rFonts w:ascii="Aptos" w:hAnsi="Aptos"/>
          <w:b w:val="0"/>
          <w:i/>
          <w:color w:val="5B6864"/>
          <w:sz w:val="16"/>
        </w:rPr>
        <w:t>Evidence: [S06], [S07], [S09], [S11], [S15], [S21]</w:t>
      </w:r>
    </w:p>
    <w:p>
      <w:pPr>
        <w:widowControl w:val="1"/>
      </w:pPr>
      <w:r/>
    </w:p>
    <w:p>
      <w:pPr>
        <w:pStyle w:val="Heading1"/>
        <w:pageBreakBefore w:val="0"/>
        <w:widowControl w:val="1"/>
      </w:pPr>
      <w:r>
        <w:t>Chronology of important events</w:t>
      </w:r>
    </w:p>
    <w:tbl>
      <w:tblPr>
        <w:tblW w:type="dxa" w:w="9360"/>
        <w:jc w:val="left"/>
        <w:tblLayout w:type="fixed"/>
        <w:tblLook w:firstColumn="1" w:firstRow="1" w:lastColumn="0" w:lastRow="0" w:noHBand="0" w:noVBand="1" w:val="04A0"/>
        <w:tblInd w:w="120" w:type="dxa"/>
      </w:tblPr>
      <w:tblGrid>
        <w:gridCol w:w="1350"/>
        <w:gridCol w:w="5600"/>
        <w:gridCol w:w="2410"/>
      </w:tblGrid>
      <w:tr>
        <w:trPr>
          <w:tblHeader w:val="true"/>
          <w:cantSplit/>
        </w:trPr>
        <w:tc>
          <w:tcPr>
            <w:tcW w:type="dxa" w:w="135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5"/>
              </w:rPr>
              <w:t>Date</w:t>
            </w:r>
          </w:p>
        </w:tc>
        <w:tc>
          <w:tcPr>
            <w:tcW w:type="dxa" w:w="560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5"/>
              </w:rPr>
              <w:t>Event</w:t>
            </w:r>
          </w:p>
        </w:tc>
        <w:tc>
          <w:tcPr>
            <w:tcW w:type="dxa" w:w="241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5"/>
              </w:rPr>
              <w:t>Risk relevance</w:t>
            </w:r>
          </w:p>
        </w:tc>
      </w:tr>
      <w:tr>
        <w:trPr>
          <w:cantSplit/>
        </w:trPr>
        <w:tc>
          <w:tcPr>
            <w:tcW w:type="dxa" w:w="13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1989–1997</w:t>
            </w:r>
          </w:p>
        </w:tc>
        <w:tc>
          <w:tcPr>
            <w:tcW w:type="dxa" w:w="56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Search software work; Arkadia and CompTek antecedents; Yandex launched in 1997.</w:t>
            </w:r>
          </w:p>
        </w:tc>
        <w:tc>
          <w:tcPr>
            <w:tcW w:type="dxa" w:w="241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Background / source of wealth</w:t>
            </w:r>
          </w:p>
        </w:tc>
      </w:tr>
      <w:tr>
        <w:trPr>
          <w:cantSplit/>
        </w:trPr>
        <w:tc>
          <w:tcPr>
            <w:tcW w:type="dxa" w:w="13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2000</w:t>
            </w:r>
          </w:p>
        </w:tc>
        <w:tc>
          <w:tcPr>
            <w:tcW w:type="dxa" w:w="56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Volozh became CEO of Yandex N.V.</w:t>
            </w:r>
          </w:p>
        </w:tc>
        <w:tc>
          <w:tcPr>
            <w:tcW w:type="dxa" w:w="241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Volozh’s direct management and control of Yandex begins</w:t>
            </w:r>
          </w:p>
        </w:tc>
      </w:tr>
      <w:tr>
        <w:trPr>
          <w:cantSplit/>
        </w:trPr>
        <w:tc>
          <w:tcPr>
            <w:tcW w:type="dxa" w:w="13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2011</w:t>
            </w:r>
          </w:p>
        </w:tc>
        <w:tc>
          <w:tcPr>
            <w:tcW w:type="dxa" w:w="56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Yandex listed on Nasdaq.</w:t>
            </w:r>
          </w:p>
        </w:tc>
        <w:tc>
          <w:tcPr>
            <w:tcW w:type="dxa" w:w="241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Public-market disclosure trail</w:t>
            </w:r>
          </w:p>
        </w:tc>
      </w:tr>
      <w:tr>
        <w:trPr>
          <w:cantSplit/>
        </w:trPr>
        <w:tc>
          <w:tcPr>
            <w:tcW w:type="dxa" w:w="13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2014</w:t>
            </w:r>
          </w:p>
        </w:tc>
        <w:tc>
          <w:tcPr>
            <w:tcW w:type="dxa" w:w="56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Volozh reportedly relocated to Israel.</w:t>
            </w:r>
          </w:p>
        </w:tc>
        <w:tc>
          <w:tcPr>
            <w:tcW w:type="dxa" w:w="241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Jurisdictional profile</w:t>
            </w:r>
          </w:p>
        </w:tc>
      </w:tr>
      <w:tr>
        <w:trPr>
          <w:cantSplit/>
        </w:trPr>
        <w:tc>
          <w:tcPr>
            <w:tcW w:type="dxa" w:w="13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2019</w:t>
            </w:r>
          </w:p>
        </w:tc>
        <w:tc>
          <w:tcPr>
            <w:tcW w:type="dxa" w:w="56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Yandex governance restructuring created a Public Interest Foundation / special rights architecture in Russia.</w:t>
            </w:r>
          </w:p>
        </w:tc>
        <w:tc>
          <w:tcPr>
            <w:tcW w:type="dxa" w:w="24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State influence and management-control concern</w:t>
            </w:r>
          </w:p>
        </w:tc>
      </w:tr>
      <w:tr>
        <w:trPr>
          <w:cantSplit/>
        </w:trPr>
        <w:tc>
          <w:tcPr>
            <w:tcW w:type="dxa" w:w="13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3 Jun 2022</w:t>
            </w:r>
          </w:p>
        </w:tc>
        <w:tc>
          <w:tcPr>
            <w:tcW w:type="dxa" w:w="56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The EU imposed sanctions on Volozh, including an asset freeze and travel restrictions.</w:t>
            </w:r>
          </w:p>
        </w:tc>
        <w:tc>
          <w:tcPr>
            <w:tcW w:type="dxa" w:w="241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Sanctions trigger</w:t>
            </w:r>
          </w:p>
        </w:tc>
      </w:tr>
      <w:tr>
        <w:trPr>
          <w:cantSplit/>
        </w:trPr>
        <w:tc>
          <w:tcPr>
            <w:tcW w:type="dxa" w:w="13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Jun 2022</w:t>
            </w:r>
          </w:p>
        </w:tc>
        <w:tc>
          <w:tcPr>
            <w:tcW w:type="dxa" w:w="56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Volozh resigned from Yandex executive and board roles; voting instructions were constrained.</w:t>
            </w:r>
          </w:p>
        </w:tc>
        <w:tc>
          <w:tcPr>
            <w:tcW w:type="dxa" w:w="241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Formal separation from management</w:t>
            </w:r>
          </w:p>
        </w:tc>
      </w:tr>
      <w:tr>
        <w:trPr>
          <w:cantSplit/>
        </w:trPr>
        <w:tc>
          <w:tcPr>
            <w:tcW w:type="dxa" w:w="13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19 Oct 2022</w:t>
            </w:r>
          </w:p>
        </w:tc>
        <w:tc>
          <w:tcPr>
            <w:tcW w:type="dxa" w:w="56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Ukraine imposed personal sanctions on Volozh for ten years, including asset blocking.</w:t>
            </w:r>
          </w:p>
        </w:tc>
        <w:tc>
          <w:tcPr>
            <w:tcW w:type="dxa" w:w="241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Active Ukrainian sanctions</w:t>
            </w:r>
          </w:p>
        </w:tc>
      </w:tr>
      <w:tr>
        <w:trPr>
          <w:cantSplit/>
        </w:trPr>
        <w:tc>
          <w:tcPr>
            <w:tcW w:type="dxa" w:w="13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Aug 2023</w:t>
            </w:r>
          </w:p>
        </w:tc>
        <w:tc>
          <w:tcPr>
            <w:tcW w:type="dxa" w:w="56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Volozh publicly condemned Russia’s invasion as “barbaric”.</w:t>
            </w:r>
          </w:p>
        </w:tc>
        <w:tc>
          <w:tcPr>
            <w:tcW w:type="dxa" w:w="241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Reputation / sanctions context</w:t>
            </w:r>
          </w:p>
        </w:tc>
      </w:tr>
      <w:tr>
        <w:trPr>
          <w:cantSplit/>
        </w:trPr>
        <w:tc>
          <w:tcPr>
            <w:tcW w:type="dxa" w:w="13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5 Feb 2024</w:t>
            </w:r>
          </w:p>
        </w:tc>
        <w:tc>
          <w:tcPr>
            <w:tcW w:type="dxa" w:w="56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Binding agreement announced to sell Russia-based businesses for RUB 475bn.</w:t>
            </w:r>
          </w:p>
        </w:tc>
        <w:tc>
          <w:tcPr>
            <w:tcW w:type="dxa" w:w="241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High-risk restructuring</w:t>
            </w:r>
          </w:p>
        </w:tc>
      </w:tr>
      <w:tr>
        <w:trPr>
          <w:cantSplit/>
        </w:trPr>
        <w:tc>
          <w:tcPr>
            <w:tcW w:type="dxa" w:w="13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Mar 2024</w:t>
            </w:r>
          </w:p>
        </w:tc>
        <w:tc>
          <w:tcPr>
            <w:tcW w:type="dxa" w:w="56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The EU sanctions ceased when Volozh’s listing was not renewed; shareholders approved the divestment.</w:t>
            </w:r>
          </w:p>
        </w:tc>
        <w:tc>
          <w:tcPr>
            <w:tcW w:type="dxa" w:w="241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Current EU status changes</w:t>
            </w:r>
          </w:p>
        </w:tc>
      </w:tr>
      <w:tr>
        <w:trPr>
          <w:cantSplit/>
        </w:trPr>
        <w:tc>
          <w:tcPr>
            <w:tcW w:type="dxa" w:w="13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May &amp; Jul 2024</w:t>
            </w:r>
          </w:p>
        </w:tc>
        <w:tc>
          <w:tcPr>
            <w:tcW w:type="dxa" w:w="56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Initial and final closings completed; Russian and international businesses separated.</w:t>
            </w:r>
          </w:p>
        </w:tc>
        <w:tc>
          <w:tcPr>
            <w:tcW w:type="dxa" w:w="24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 companies included in each group changed</w:t>
            </w:r>
          </w:p>
        </w:tc>
      </w:tr>
      <w:tr>
        <w:trPr>
          <w:cantSplit/>
        </w:trPr>
        <w:tc>
          <w:tcPr>
            <w:tcW w:type="dxa" w:w="13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Aug–Oct 2024</w:t>
            </w:r>
          </w:p>
        </w:tc>
        <w:tc>
          <w:tcPr>
            <w:tcW w:type="dxa" w:w="56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Yandex N.V. renamed Nebius; Volozh returned as CEO; Nasdaq trading resumed under NBIS.</w:t>
            </w:r>
          </w:p>
        </w:tc>
        <w:tc>
          <w:tcPr>
            <w:tcW w:type="dxa" w:w="241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New operating identity</w:t>
            </w:r>
          </w:p>
        </w:tc>
      </w:tr>
      <w:tr>
        <w:trPr>
          <w:cantSplit/>
        </w:trPr>
        <w:tc>
          <w:tcPr>
            <w:tcW w:type="dxa" w:w="13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Dec 2024</w:t>
            </w:r>
          </w:p>
        </w:tc>
        <w:tc>
          <w:tcPr>
            <w:tcW w:type="dxa" w:w="56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Nebius announced $700m private placement including Nvidia, Accel and Orbis.</w:t>
            </w:r>
          </w:p>
        </w:tc>
        <w:tc>
          <w:tcPr>
            <w:tcW w:type="dxa" w:w="241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Capital and investor validation</w:t>
            </w:r>
          </w:p>
        </w:tc>
      </w:tr>
      <w:tr>
        <w:trPr>
          <w:cantSplit/>
        </w:trPr>
        <w:tc>
          <w:tcPr>
            <w:tcW w:type="dxa" w:w="13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May–Q2 2025</w:t>
            </w:r>
          </w:p>
        </w:tc>
        <w:tc>
          <w:tcPr>
            <w:tcW w:type="dxa" w:w="560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Toloka received external investment; Nebius lost majority voting control and stopped treating Toloka as a subsidiary in its group accounts.</w:t>
            </w:r>
          </w:p>
        </w:tc>
        <w:tc>
          <w:tcPr>
            <w:tcW w:type="dxa" w:w="241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Nebius lost majority voting control but kept an important financial interest</w:t>
            </w:r>
          </w:p>
        </w:tc>
      </w:tr>
      <w:tr>
        <w:trPr>
          <w:cantSplit/>
        </w:trPr>
        <w:tc>
          <w:tcPr>
            <w:tcW w:type="dxa" w:w="13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Sep 2025</w:t>
            </w:r>
          </w:p>
        </w:tc>
        <w:tc>
          <w:tcPr>
            <w:tcW w:type="dxa" w:w="56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Nebius announced multi-year AI infrastructure agreement with Microsoft.</w:t>
            </w:r>
          </w:p>
        </w:tc>
        <w:tc>
          <w:tcPr>
            <w:tcW w:type="dxa" w:w="241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Customer concentration / growth</w:t>
            </w:r>
          </w:p>
        </w:tc>
      </w:tr>
      <w:tr>
        <w:trPr>
          <w:cantSplit/>
        </w:trPr>
        <w:tc>
          <w:tcPr>
            <w:tcW w:type="dxa" w:w="13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Oct 2025</w:t>
            </w:r>
          </w:p>
        </w:tc>
        <w:tc>
          <w:tcPr>
            <w:tcW w:type="dxa" w:w="56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US and UK imposed sanctions on Lukoil, whose fund had participated in the Yandex purchaser consortium.</w:t>
            </w:r>
          </w:p>
        </w:tc>
        <w:tc>
          <w:tcPr>
            <w:tcW w:type="dxa" w:w="241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Post-sale Yandex exposure</w:t>
            </w:r>
          </w:p>
        </w:tc>
      </w:tr>
      <w:tr>
        <w:trPr>
          <w:cantSplit/>
        </w:trPr>
        <w:tc>
          <w:tcPr>
            <w:tcW w:type="dxa" w:w="13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Feb 2026</w:t>
            </w:r>
          </w:p>
        </w:tc>
        <w:tc>
          <w:tcPr>
            <w:tcW w:type="dxa" w:w="56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Volozh reportedly received formal confirmation that Russian citizenship had ended.</w:t>
            </w:r>
          </w:p>
        </w:tc>
        <w:tc>
          <w:tcPr>
            <w:tcW w:type="dxa" w:w="241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Identity update</w:t>
            </w:r>
          </w:p>
        </w:tc>
      </w:tr>
      <w:tr>
        <w:trPr>
          <w:cantSplit/>
        </w:trPr>
        <w:tc>
          <w:tcPr>
            <w:tcW w:type="dxa" w:w="13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Feb 2026</w:t>
            </w:r>
          </w:p>
        </w:tc>
        <w:tc>
          <w:tcPr>
            <w:tcW w:type="dxa" w:w="56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Nebius completed its acquisition of Tavily, an agentic-search infrastructure provider.</w:t>
            </w:r>
          </w:p>
        </w:tc>
        <w:tc>
          <w:tcPr>
            <w:tcW w:type="dxa" w:w="241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Product expansion / integration</w:t>
            </w:r>
          </w:p>
        </w:tc>
      </w:tr>
      <w:tr>
        <w:trPr>
          <w:cantSplit/>
        </w:trPr>
        <w:tc>
          <w:tcPr>
            <w:tcW w:type="dxa" w:w="13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Mar 2026</w:t>
            </w:r>
          </w:p>
        </w:tc>
        <w:tc>
          <w:tcPr>
            <w:tcW w:type="dxa" w:w="560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Nebius entered the Meta agreement; NVIDIA made a $2bn investment linked to future share rights; Nebius announced a 310 MW Finland facility.</w:t>
            </w:r>
          </w:p>
        </w:tc>
        <w:tc>
          <w:tcPr>
            <w:tcW w:type="dxa" w:w="241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Dependence on large customers, financing and rapid investment</w:t>
            </w:r>
          </w:p>
        </w:tc>
      </w:tr>
      <w:tr>
        <w:trPr>
          <w:cantSplit/>
        </w:trPr>
        <w:tc>
          <w:tcPr>
            <w:tcW w:type="dxa" w:w="13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Apr–Jul 2026</w:t>
            </w:r>
          </w:p>
        </w:tc>
        <w:tc>
          <w:tcPr>
            <w:tcW w:type="dxa" w:w="56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SEC filings reported share disposals by Volozh and other senior insiders; important transactions were automatic tax-related sales or made under pre-arranged trading plans.</w:t>
            </w:r>
          </w:p>
        </w:tc>
        <w:tc>
          <w:tcPr>
            <w:tcW w:type="dxa" w:w="241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Management commitment and investor-confidence concern</w:t>
            </w:r>
          </w:p>
        </w:tc>
      </w:tr>
      <w:tr>
        <w:trPr>
          <w:cantSplit/>
        </w:trPr>
        <w:tc>
          <w:tcPr>
            <w:tcW w:type="dxa" w:w="13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6 May 2026</w:t>
            </w:r>
          </w:p>
        </w:tc>
        <w:tc>
          <w:tcPr>
            <w:tcW w:type="dxa" w:w="56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NHTSA opened Preliminary Evaluation PE26003 into the Avride Automated Driving System.</w:t>
            </w:r>
          </w:p>
        </w:tc>
        <w:tc>
          <w:tcPr>
            <w:tcW w:type="dxa" w:w="241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Product-safety and regulatory concern</w:t>
            </w:r>
          </w:p>
        </w:tc>
      </w:tr>
      <w:tr>
        <w:trPr>
          <w:cantSplit/>
        </w:trPr>
        <w:tc>
          <w:tcPr>
            <w:tcW w:type="dxa" w:w="13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May 2026</w:t>
            </w:r>
          </w:p>
        </w:tc>
        <w:tc>
          <w:tcPr>
            <w:tcW w:type="dxa" w:w="56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Nebius reported Q1 2026 revenue of $399m and major capacity expansion.</w:t>
            </w:r>
          </w:p>
        </w:tc>
        <w:tc>
          <w:tcPr>
            <w:tcW w:type="dxa" w:w="241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Current scale / operational risk</w:t>
            </w:r>
          </w:p>
        </w:tc>
      </w:tr>
      <w:tr>
        <w:trPr>
          <w:cantSplit/>
        </w:trPr>
        <w:tc>
          <w:tcPr>
            <w:tcW w:type="dxa" w:w="13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Jun 2026</w:t>
            </w:r>
          </w:p>
        </w:tc>
        <w:tc>
          <w:tcPr>
            <w:tcW w:type="dxa" w:w="56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Nebius completed the Eigen AI acquisition; Birmingham homeowners filed proceedings naming Nebius.</w:t>
            </w:r>
          </w:p>
        </w:tc>
        <w:tc>
          <w:tcPr>
            <w:tcW w:type="dxa" w:w="241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Acquisition and litigation exposure</w:t>
            </w:r>
          </w:p>
        </w:tc>
      </w:tr>
      <w:tr>
        <w:trPr>
          <w:cantSplit/>
        </w:trPr>
        <w:tc>
          <w:tcPr>
            <w:tcW w:type="dxa" w:w="13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Jul 2026</w:t>
            </w:r>
          </w:p>
        </w:tc>
        <w:tc>
          <w:tcPr>
            <w:tcW w:type="dxa" w:w="560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A Birmingham court allowed proceedings about a possible temporary order stopping work to continue; NVIDIA reported an interest in 9.3% of Nebius under SEC rules, largely through rights to future shares.</w:t>
            </w:r>
          </w:p>
        </w:tc>
        <w:tc>
          <w:tcPr>
            <w:tcW w:type="dxa" w:w="241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Legal and ownership update</w:t>
            </w:r>
          </w:p>
        </w:tc>
      </w:tr>
    </w:tbl>
    <w:p>
      <w:pPr>
        <w:spacing w:after="0"/>
        <w:widowControl w:val="1"/>
      </w:pPr>
    </w:p>
    <w:p>
      <w:pPr>
        <w:spacing w:before="0" w:after="100"/>
        <w:widowControl w:val="1"/>
      </w:pPr>
      <w:r>
        <w:rPr>
          <w:rFonts w:ascii="Aptos" w:hAnsi="Aptos"/>
          <w:b w:val="0"/>
          <w:i/>
          <w:color w:val="5B6864"/>
          <w:sz w:val="16"/>
        </w:rPr>
        <w:t>Evidence: [S02], [S03], [S05], [S06], [S08], [S11], [S16], [S18], [S20], [S21], [S25]</w:t>
      </w:r>
    </w:p>
    <w:p>
      <w:pPr>
        <w:widowControl w:val="1"/>
      </w:pPr>
      <w:r/>
    </w:p>
    <w:p>
      <w:pPr>
        <w:pStyle w:val="Heading1"/>
        <w:pageBreakBefore w:val="0"/>
        <w:widowControl w:val="1"/>
      </w:pPr>
      <w:r>
        <w:t>Sanctions and geopolitical exposure</w:t>
      </w:r>
    </w:p>
    <w:p>
      <w:pPr>
        <w:pStyle w:val="Heading2"/>
        <w:widowControl w:val="1"/>
      </w:pPr>
      <w:r>
        <w:t>Arkady Volozh</w:t>
      </w:r>
    </w:p>
    <w:p>
      <w:pPr>
        <w:widowControl w:val="1"/>
      </w:pPr>
      <w:r>
        <w:rPr>
          <w:rFonts w:ascii="Aptos" w:hAnsi="Aptos"/>
          <w:b w:val="0"/>
          <w:i w:val="0"/>
          <w:color w:val="17221F"/>
          <w:sz w:val="20"/>
        </w:rPr>
        <w:t>The EU imposed sanctions on Volozh on 3 June 2022. The measures included an asset freeze, restrictions on providing funds or economic resources to him, and travel restrictions. The EU’s stated reasons linked him to Yandex, tax-generating sectors, state-bank investment, the 2019 public-interest governance arrangement, and allegations concerning promotion of state narratives and suppression of critical content. These were regulatory reasons for imposing sanctions, not criminal convictions.</w:t>
      </w:r>
    </w:p>
    <w:p>
      <w:pPr>
        <w:widowControl w:val="1"/>
      </w:pPr>
      <w:r>
        <w:rPr>
          <w:rFonts w:ascii="Aptos" w:hAnsi="Aptos"/>
          <w:b w:val="0"/>
          <w:i w:val="0"/>
          <w:color w:val="17221F"/>
          <w:sz w:val="20"/>
        </w:rPr>
        <w:t>The EU sanctions ceased to apply when Volozh’s listing was not renewed in March 2024. Contemporary reporting linked that outcome to his 2023 condemnation of the war and the planned full separation from Yandex’s Russian business. Separately, Ukraine imposed personal sanctions on Volozh on 19 October 2022 for ten years. The official Ukrainian record and current sanctions-data record indicate that the Ukrainian listing remains active at the review date.</w:t>
      </w:r>
    </w:p>
    <w:p>
      <w:pPr>
        <w:spacing w:before="0" w:after="100"/>
        <w:widowControl w:val="1"/>
      </w:pPr>
      <w:r>
        <w:rPr>
          <w:rFonts w:ascii="Aptos" w:hAnsi="Aptos"/>
          <w:b w:val="0"/>
          <w:i/>
          <w:color w:val="5B6864"/>
          <w:sz w:val="16"/>
        </w:rPr>
        <w:t>Evidence: [S02], [S03], [S04], [S42], [S43]</w:t>
      </w:r>
    </w:p>
    <w:tbl>
      <w:tblPr>
        <w:tblW w:type="dxa" w:w="9360"/>
        <w:jc w:val="left"/>
        <w:tblLayout w:type="fixed"/>
        <w:tblLook w:firstColumn="1" w:firstRow="1" w:lastColumn="0" w:lastRow="0" w:noHBand="0" w:noVBand="1" w:val="04A0"/>
        <w:tblInd w:w="120" w:type="dxa"/>
      </w:tblPr>
      <w:tblGrid>
        <w:gridCol w:w="1400"/>
        <w:gridCol w:w="4200"/>
        <w:gridCol w:w="3760"/>
      </w:tblGrid>
      <w:tr>
        <w:trPr>
          <w:tblHeader w:val="true"/>
          <w:cantSplit/>
        </w:trPr>
        <w:tc>
          <w:tcPr>
            <w:tcW w:type="dxa" w:w="140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6"/>
              </w:rPr>
              <w:t>Jurisdiction</w:t>
            </w:r>
          </w:p>
        </w:tc>
        <w:tc>
          <w:tcPr>
            <w:tcW w:type="dxa" w:w="420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6"/>
              </w:rPr>
              <w:t>Position at review date</w:t>
            </w:r>
          </w:p>
        </w:tc>
        <w:tc>
          <w:tcPr>
            <w:tcW w:type="dxa" w:w="376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6"/>
              </w:rPr>
              <w:t>Assessment significance</w:t>
            </w:r>
          </w:p>
        </w:tc>
      </w:tr>
      <w:tr>
        <w:trPr>
          <w:cantSplit/>
        </w:trPr>
        <w:tc>
          <w:tcPr>
            <w:tcW w:type="dxa" w:w="14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European Union</w:t>
            </w:r>
          </w:p>
        </w:tc>
        <w:tc>
          <w:tcPr>
            <w:tcW w:type="dxa" w:w="42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EU sanctions imposed on 3 Jun 2022; ceased when the listing was not renewed in Mar 2024.</w:t>
            </w:r>
          </w:p>
        </w:tc>
        <w:tc>
          <w:tcPr>
            <w:tcW w:type="dxa" w:w="376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The EU measures no longer apply, but their stated reasons remain historically and reputationally material.</w:t>
            </w:r>
          </w:p>
        </w:tc>
      </w:tr>
      <w:tr>
        <w:trPr>
          <w:cantSplit/>
        </w:trPr>
        <w:tc>
          <w:tcPr>
            <w:tcW w:type="dxa" w:w="14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United Kingdom</w:t>
            </w:r>
          </w:p>
        </w:tc>
        <w:tc>
          <w:tcPr>
            <w:tcW w:type="dxa" w:w="42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No UK sanctions against Volozh were identified in the evidence assembled.</w:t>
            </w:r>
          </w:p>
        </w:tc>
        <w:tc>
          <w:tcPr>
            <w:tcW w:type="dxa" w:w="376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No UK sanctions against Volozh were identified in the evidence assembled.</w:t>
            </w:r>
          </w:p>
        </w:tc>
      </w:tr>
      <w:tr>
        <w:trPr>
          <w:cantSplit/>
        </w:trPr>
        <w:tc>
          <w:tcPr>
            <w:tcW w:type="dxa" w:w="14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United States</w:t>
            </w:r>
          </w:p>
        </w:tc>
        <w:tc>
          <w:tcPr>
            <w:tcW w:type="dxa" w:w="42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No US sanctions against Volozh were identified in the evidence assembled.</w:t>
            </w:r>
          </w:p>
        </w:tc>
        <w:tc>
          <w:tcPr>
            <w:tcW w:type="dxa" w:w="376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No US sanctions against Volozh were identified in the evidence assembled.</w:t>
            </w:r>
          </w:p>
        </w:tc>
      </w:tr>
      <w:tr>
        <w:trPr>
          <w:cantSplit/>
        </w:trPr>
        <w:tc>
          <w:tcPr>
            <w:tcW w:type="dxa" w:w="14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Ukraine</w:t>
            </w:r>
          </w:p>
        </w:tc>
        <w:tc>
          <w:tcPr>
            <w:tcW w:type="dxa" w:w="42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Ukraine imposed sanctions on 19 Oct 2022 for ten years, including asset blocking; active at the review date.</w:t>
            </w:r>
          </w:p>
        </w:tc>
        <w:tc>
          <w:tcPr>
            <w:tcW w:type="dxa" w:w="376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Volozh remains directly sanctioned in Ukraine despite no longer being subject to EU sanctions.</w:t>
            </w:r>
          </w:p>
        </w:tc>
      </w:tr>
      <w:tr>
        <w:trPr>
          <w:cantSplit/>
        </w:trPr>
        <w:tc>
          <w:tcPr>
            <w:tcW w:type="dxa" w:w="14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Other</w:t>
            </w:r>
          </w:p>
        </w:tc>
        <w:tc>
          <w:tcPr>
            <w:tcW w:type="dxa" w:w="42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Not comprehensively screened in this research pack.</w:t>
            </w:r>
          </w:p>
        </w:tc>
        <w:tc>
          <w:tcPr>
            <w:tcW w:type="dxa" w:w="376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The report did not establish a comprehensive position across every other jurisdiction.</w:t>
            </w:r>
          </w:p>
        </w:tc>
      </w:tr>
    </w:tbl>
    <w:p>
      <w:pPr>
        <w:spacing w:after="0"/>
        <w:widowControl w:val="1"/>
      </w:pPr>
    </w:p>
    <w:p>
      <w:pPr>
        <w:pStyle w:val="RiskHigh"/>
        <w:widowControl w:val="1"/>
      </w:pPr>
      <w:r>
        <w:rPr>
          <w:b/>
          <w:color w:val="123B34"/>
        </w:rPr>
        <w:t xml:space="preserve">Status finding  </w:t>
      </w:r>
      <w:r>
        <w:rPr>
          <w:color w:val="17221F"/>
        </w:rPr>
        <w:t>The EU imposed sanctions on Volozh on 3 June 2022; those measures ceased when his listing was not renewed in March 2024. Ukraine separately imposed sanctions on 19 October 2022 for ten years, and that listing remains active. The report therefore cannot conclude that he is free of sanctions worldwide.</w:t>
      </w:r>
    </w:p>
    <w:p>
      <w:pPr>
        <w:pStyle w:val="Heading2"/>
        <w:widowControl w:val="1"/>
      </w:pPr>
      <w:r>
        <w:t>Yandex post-sale ownership exposure</w:t>
      </w:r>
    </w:p>
    <w:p>
      <w:pPr>
        <w:widowControl w:val="1"/>
      </w:pPr>
      <w:r>
        <w:t>The purchaser consortium included a fund ultimately owned by Lukoil. In 2025, the United States and United Kingdom imposed sanctions on Lukoil. Separate reporting also identified a later 9.95% Yandex stake associated with structures controlled by Vladimir Potanin. These minority shareholdings do not by themselves mean that Yandex is treated as sanctioned under every country’s rules. However, they make the current ownership and control position more sensitive.</w:t>
      </w:r>
    </w:p>
    <w:p>
      <w:pPr>
        <w:pStyle w:val="ListBullet"/>
        <w:spacing w:after="70"/>
        <w:ind w:left="720" w:hanging="360"/>
        <w:widowControl w:val="1"/>
      </w:pPr>
      <w:r>
        <w:t>The complete current list of Yandex shareholders, including changes after restrictions on selling shares expired, was not established from the public evidence reviewed.</w:t>
      </w:r>
    </w:p>
    <w:p>
      <w:pPr>
        <w:pStyle w:val="ListBullet"/>
        <w:spacing w:after="70"/>
        <w:ind w:left="720" w:hanging="360"/>
        <w:widowControl w:val="1"/>
      </w:pPr>
      <w:r>
        <w:t>Different countries use different tests for ownership and control. Holding less than 50% does not automatically settle the question everywhere.</w:t>
      </w:r>
    </w:p>
    <w:p>
      <w:pPr>
        <w:pStyle w:val="ListBullet"/>
        <w:spacing w:after="70"/>
        <w:ind w:left="720" w:hanging="360"/>
        <w:widowControl w:val="1"/>
      </w:pPr>
      <w:r>
        <w:t>The people who ultimately own all purchaser vehicles and management holdings could not be fully established from the public evidence reviewed.</w:t>
      </w:r>
    </w:p>
    <w:p>
      <w:pPr>
        <w:pStyle w:val="ListBullet"/>
        <w:spacing w:after="70"/>
        <w:ind w:left="720" w:hanging="360"/>
        <w:widowControl w:val="1"/>
      </w:pPr>
      <w:r>
        <w:rPr>
          <w:rFonts w:ascii="Aptos" w:hAnsi="Aptos"/>
          <w:b w:val="0"/>
          <w:i w:val="0"/>
          <w:color w:val="17221F"/>
          <w:sz w:val="20"/>
        </w:rPr>
        <w:t>The public record did not fully establish any continuing transitional payments, licences, IP or service arrangements between Yandex and Nebius.</w:t>
      </w:r>
    </w:p>
    <w:p>
      <w:pPr>
        <w:spacing w:before="0" w:after="100"/>
        <w:widowControl w:val="1"/>
      </w:pPr>
      <w:r>
        <w:rPr>
          <w:rFonts w:ascii="Aptos" w:hAnsi="Aptos"/>
          <w:b w:val="0"/>
          <w:i/>
          <w:color w:val="5B6864"/>
          <w:sz w:val="16"/>
        </w:rPr>
        <w:t>Evidence: [S06], [S17], [S18], [S28]</w:t>
      </w:r>
    </w:p>
    <w:p>
      <w:pPr>
        <w:widowControl w:val="1"/>
      </w:pPr>
      <w:r/>
    </w:p>
    <w:p>
      <w:pPr>
        <w:pStyle w:val="Heading1"/>
        <w:pageBreakBefore w:val="0"/>
        <w:widowControl w:val="1"/>
      </w:pPr>
      <w:r>
        <w:t>Yandex: legacy exposure under Volozh</w:t>
      </w:r>
    </w:p>
    <w:p>
      <w:pPr>
        <w:pStyle w:val="Heading2"/>
        <w:widowControl w:val="1"/>
      </w:pPr>
      <w:r>
        <w:t>Business and state-influence context</w:t>
      </w:r>
    </w:p>
    <w:p>
      <w:pPr>
        <w:widowControl w:val="1"/>
      </w:pPr>
      <w:r>
        <w:rPr>
          <w:rFonts w:ascii="Aptos" w:hAnsi="Aptos"/>
          <w:b w:val="0"/>
          <w:i w:val="0"/>
          <w:color w:val="17221F"/>
          <w:sz w:val="20"/>
        </w:rPr>
        <w:t>Yandex grew into Russia’s dominant internet and digital-services group under Volozh. The EU’s sanctions instrument cited state-bank investment, the 2019 governance arrangement that granted special rights over matters including important intellectual property and user data, and alleged search/news alignment with Russian state narratives.</w:t>
      </w:r>
    </w:p>
    <w:p>
      <w:pPr>
        <w:widowControl w:val="1"/>
      </w:pPr>
      <w:r>
        <w:rPr>
          <w:rFonts w:ascii="Aptos" w:hAnsi="Aptos"/>
          <w:b w:val="0"/>
          <w:i w:val="0"/>
          <w:color w:val="17221F"/>
          <w:sz w:val="20"/>
        </w:rPr>
        <w:t>The context is material: Russian technology companies operated under coercive legal and regulatory requirements, and Yandex disputed the characterisation of both Volozh and the company. Attribution therefore depends on the distinction between matters management controlled, resisted, was compelled to implement, or chose to implement.</w:t>
      </w:r>
    </w:p>
    <w:p>
      <w:pPr>
        <w:spacing w:before="0" w:after="100"/>
        <w:widowControl w:val="1"/>
      </w:pPr>
      <w:r>
        <w:rPr>
          <w:rFonts w:ascii="Aptos" w:hAnsi="Aptos"/>
          <w:b w:val="0"/>
          <w:i/>
          <w:color w:val="5B6864"/>
          <w:sz w:val="16"/>
        </w:rPr>
        <w:t>Evidence: [S02], [S20], [S26]</w:t>
      </w:r>
    </w:p>
    <w:p>
      <w:pPr>
        <w:pStyle w:val="Heading2"/>
        <w:widowControl w:val="1"/>
      </w:pPr>
      <w:r>
        <w:t>Risk themes</w:t>
      </w:r>
    </w:p>
    <w:tbl>
      <w:tblPr>
        <w:tblW w:type="dxa" w:w="9360"/>
        <w:jc w:val="left"/>
        <w:tblLayout w:type="fixed"/>
        <w:tblLook w:firstColumn="1" w:firstRow="1" w:lastColumn="0" w:lastRow="0" w:noHBand="0" w:noVBand="1" w:val="04A0"/>
        <w:tblInd w:w="120" w:type="dxa"/>
      </w:tblPr>
      <w:tblGrid>
        <w:gridCol w:w="1700"/>
        <w:gridCol w:w="3600"/>
        <w:gridCol w:w="4060"/>
      </w:tblGrid>
      <w:tr>
        <w:trPr>
          <w:tblHeader w:val="true"/>
          <w:cantSplit/>
        </w:trPr>
        <w:tc>
          <w:tcPr>
            <w:tcW w:type="dxa" w:w="170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6"/>
              </w:rPr>
              <w:t>Theme</w:t>
            </w:r>
          </w:p>
        </w:tc>
        <w:tc>
          <w:tcPr>
            <w:tcW w:type="dxa" w:w="360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6"/>
              </w:rPr>
              <w:t>Evidence</w:t>
            </w:r>
          </w:p>
        </w:tc>
        <w:tc>
          <w:tcPr>
            <w:tcW w:type="dxa" w:w="406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6"/>
              </w:rPr>
              <w:t>Balanced interpretation</w:t>
            </w:r>
          </w:p>
        </w:tc>
      </w:tr>
      <w:tr>
        <w:trPr>
          <w:cantSplit/>
        </w:trPr>
        <w:tc>
          <w:tcPr>
            <w:tcW w:type="dxa" w:w="17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Information integrity</w:t>
            </w:r>
          </w:p>
        </w:tc>
        <w:tc>
          <w:tcPr>
            <w:tcW w:type="dxa" w:w="36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EU alleged promotion of state narratives and removal/deranking of critical content.</w:t>
            </w:r>
          </w:p>
        </w:tc>
        <w:tc>
          <w:tcPr>
            <w:tcW w:type="dxa" w:w="406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Regulatory finding for designation, not a criminal judgment. The evidence does not distinguish algorithmic-governance choices from legal compulsion.</w:t>
            </w:r>
          </w:p>
        </w:tc>
      </w:tr>
      <w:tr>
        <w:trPr>
          <w:cantSplit/>
        </w:trPr>
        <w:tc>
          <w:tcPr>
            <w:tcW w:type="dxa" w:w="17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State influence</w:t>
            </w:r>
          </w:p>
        </w:tc>
        <w:tc>
          <w:tcPr>
            <w:tcW w:type="dxa" w:w="36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2019 public-interest/special-rights framework and state-bank relationships.</w:t>
            </w:r>
          </w:p>
        </w:tc>
        <w:tc>
          <w:tcPr>
            <w:tcW w:type="dxa" w:w="406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Material influence indicator; does not alone prove day-to-day state control.</w:t>
            </w:r>
          </w:p>
        </w:tc>
      </w:tr>
      <w:tr>
        <w:trPr>
          <w:cantSplit/>
        </w:trPr>
        <w:tc>
          <w:tcPr>
            <w:tcW w:type="dxa" w:w="17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Data access</w:t>
            </w:r>
          </w:p>
        </w:tc>
        <w:tc>
          <w:tcPr>
            <w:tcW w:type="dxa" w:w="36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Special rights covered Russian user data transfer and important intellectual property.</w:t>
            </w:r>
          </w:p>
        </w:tc>
        <w:tc>
          <w:tcPr>
            <w:tcW w:type="dxa" w:w="406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Relevant to privacy, sovereignty and national-security risk.</w:t>
            </w:r>
          </w:p>
        </w:tc>
      </w:tr>
      <w:tr>
        <w:trPr>
          <w:cantSplit/>
        </w:trPr>
        <w:tc>
          <w:tcPr>
            <w:tcW w:type="dxa" w:w="17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Tax / economic contribution</w:t>
            </w:r>
          </w:p>
        </w:tc>
        <w:tc>
          <w:tcPr>
            <w:tcW w:type="dxa" w:w="36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Large Russian technology business generated substantial tax revenues.</w:t>
            </w:r>
          </w:p>
        </w:tc>
        <w:tc>
          <w:tcPr>
            <w:tcW w:type="dxa" w:w="406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Used by EU as sanctions criterion; ordinary tax payment is not itself misconduct.</w:t>
            </w:r>
          </w:p>
        </w:tc>
      </w:tr>
      <w:tr>
        <w:trPr>
          <w:cantSplit/>
        </w:trPr>
        <w:tc>
          <w:tcPr>
            <w:tcW w:type="dxa" w:w="17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Founder accountability</w:t>
            </w:r>
          </w:p>
        </w:tc>
        <w:tc>
          <w:tcPr>
            <w:tcW w:type="dxa" w:w="36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Volozh led the business for roughly 25 years and resigned after designation.</w:t>
            </w:r>
          </w:p>
        </w:tc>
        <w:tc>
          <w:tcPr>
            <w:tcW w:type="dxa" w:w="406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Historic accountability remains relevant even after legal separation.</w:t>
            </w:r>
          </w:p>
        </w:tc>
      </w:tr>
    </w:tbl>
    <w:p>
      <w:pPr>
        <w:spacing w:after="0"/>
        <w:widowControl w:val="1"/>
      </w:pPr>
    </w:p>
    <w:p>
      <w:pPr>
        <w:widowControl w:val="1"/>
      </w:pPr>
      <w:r/>
    </w:p>
    <w:p>
      <w:pPr>
        <w:pStyle w:val="Heading1"/>
        <w:pageBreakBefore w:val="0"/>
        <w:widowControl w:val="1"/>
      </w:pPr>
      <w:r>
        <w:t>The 2024 sale of the Russian businesses</w:t>
      </w:r>
    </w:p>
    <w:tbl>
      <w:tblPr>
        <w:tblW w:type="dxa" w:w="9360"/>
        <w:jc w:val="left"/>
        <w:tblLayout w:type="fixed"/>
        <w:tblLook w:firstColumn="1" w:firstRow="1" w:lastColumn="0" w:lastRow="0" w:noHBand="0" w:noVBand="1" w:val="04A0"/>
        <w:tblInd w:w="120" w:type="dxa"/>
      </w:tblPr>
      <w:tblGrid>
        <w:gridCol w:w="1700"/>
        <w:gridCol w:w="4510"/>
        <w:gridCol w:w="3150"/>
      </w:tblGrid>
      <w:tr>
        <w:trPr>
          <w:tblHeader w:val="true"/>
          <w:cantSplit/>
        </w:trPr>
        <w:tc>
          <w:tcPr>
            <w:tcW w:type="dxa" w:w="170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5"/>
              </w:rPr>
              <w:t>Transaction element</w:t>
            </w:r>
          </w:p>
        </w:tc>
        <w:tc>
          <w:tcPr>
            <w:tcW w:type="dxa" w:w="451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5"/>
              </w:rPr>
              <w:t>Verified position</w:t>
            </w:r>
          </w:p>
        </w:tc>
        <w:tc>
          <w:tcPr>
            <w:tcW w:type="dxa" w:w="315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5"/>
              </w:rPr>
              <w:t>Risk significance</w:t>
            </w:r>
          </w:p>
        </w:tc>
      </w:tr>
      <w:tr>
        <w:trPr>
          <w:cantSplit/>
        </w:trPr>
        <w:tc>
          <w:tcPr>
            <w:tcW w:type="dxa" w:w="17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Seller</w:t>
            </w:r>
          </w:p>
        </w:tc>
        <w:tc>
          <w:tcPr>
            <w:tcW w:type="dxa" w:w="451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Yandex N.V., Dutch listed parent, later renamed Nebius Group N.V.</w:t>
            </w:r>
          </w:p>
        </w:tc>
        <w:tc>
          <w:tcPr>
            <w:tcW w:type="dxa" w:w="31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The seller was a publicly listed Dutch company.</w:t>
            </w:r>
          </w:p>
        </w:tc>
      </w:tr>
      <w:tr>
        <w:trPr>
          <w:cantSplit/>
        </w:trPr>
        <w:tc>
          <w:tcPr>
            <w:tcW w:type="dxa" w:w="17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Target</w:t>
            </w:r>
          </w:p>
        </w:tc>
        <w:tc>
          <w:tcPr>
            <w:tcW w:type="dxa" w:w="451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Entire interest in IJSC Yandex holding Russia-based businesses and certain international markets.</w:t>
            </w:r>
          </w:p>
        </w:tc>
        <w:tc>
          <w:tcPr>
            <w:tcW w:type="dxa" w:w="315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 businesses included in the sale are clearly defined by the transaction documents.</w:t>
            </w:r>
          </w:p>
        </w:tc>
      </w:tr>
      <w:tr>
        <w:trPr>
          <w:cantSplit/>
        </w:trPr>
        <w:tc>
          <w:tcPr>
            <w:tcW w:type="dxa" w:w="17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Consideration</w:t>
            </w:r>
          </w:p>
        </w:tc>
        <w:tc>
          <w:tcPr>
            <w:tcW w:type="dxa" w:w="451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RUB 475bn, subject to adjustments; at least RUB 230bn cash plus up to about 176m YNV Class A shares.</w:t>
            </w:r>
          </w:p>
        </w:tc>
        <w:tc>
          <w:tcPr>
            <w:tcW w:type="dxa" w:w="31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The mixed cash-and-share settlement creates a complex proceeds and valuation trail.</w:t>
            </w:r>
          </w:p>
        </w:tc>
      </w:tr>
      <w:tr>
        <w:trPr>
          <w:cantSplit/>
        </w:trPr>
        <w:tc>
          <w:tcPr>
            <w:tcW w:type="dxa" w:w="17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Currency</w:t>
            </w:r>
          </w:p>
        </w:tc>
        <w:tc>
          <w:tcPr>
            <w:tcW w:type="dxa" w:w="451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Cash consideration payable in offshore Chinese yuan.</w:t>
            </w:r>
          </w:p>
        </w:tc>
        <w:tc>
          <w:tcPr>
            <w:tcW w:type="dxa" w:w="31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Use of offshore Chinese yuan adds cross-border payment-chain complexity.</w:t>
            </w:r>
          </w:p>
        </w:tc>
      </w:tr>
      <w:tr>
        <w:trPr>
          <w:cantSplit/>
        </w:trPr>
        <w:tc>
          <w:tcPr>
            <w:tcW w:type="dxa" w:w="17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Reference discount</w:t>
            </w:r>
          </w:p>
        </w:tc>
        <w:tc>
          <w:tcPr>
            <w:tcW w:type="dxa" w:w="451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At least 50% mandatory discount to fair value under Russian exit rules.</w:t>
            </w:r>
          </w:p>
        </w:tc>
        <w:tc>
          <w:tcPr>
            <w:tcW w:type="dxa" w:w="31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The mandatory discount explains the difference from the reference market capitalisation.</w:t>
            </w:r>
          </w:p>
        </w:tc>
      </w:tr>
      <w:tr>
        <w:trPr>
          <w:cantSplit/>
        </w:trPr>
        <w:tc>
          <w:tcPr>
            <w:tcW w:type="dxa" w:w="17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Purchaser</w:t>
            </w:r>
          </w:p>
        </w:tc>
        <w:tc>
          <w:tcPr>
            <w:tcW w:type="dxa" w:w="451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Consortium.First managed by Solid Management.</w:t>
            </w:r>
          </w:p>
        </w:tc>
        <w:tc>
          <w:tcPr>
            <w:tcW w:type="dxa" w:w="31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The named management structure does not by itself establish the consortium’s current ownership.</w:t>
            </w:r>
          </w:p>
        </w:tc>
      </w:tr>
      <w:tr>
        <w:trPr>
          <w:cantSplit/>
        </w:trPr>
        <w:tc>
          <w:tcPr>
            <w:tcW w:type="dxa" w:w="17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Participants</w:t>
            </w:r>
          </w:p>
        </w:tc>
        <w:tc>
          <w:tcPr>
            <w:tcW w:type="dxa" w:w="451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Management vehicle FMP; Lukoil-owned Argonaut; vehicles owned by Alexander Chachava, Pavel Prass and Alexander Ryazanov.</w:t>
            </w:r>
          </w:p>
        </w:tc>
        <w:tc>
          <w:tcPr>
            <w:tcW w:type="dxa" w:w="31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The announcement identified the initial participant and beneficial-owner starting point.</w:t>
            </w:r>
          </w:p>
        </w:tc>
      </w:tr>
      <w:tr>
        <w:trPr>
          <w:cantSplit/>
        </w:trPr>
        <w:tc>
          <w:tcPr>
            <w:tcW w:type="dxa" w:w="17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Company sanctions statement</w:t>
            </w:r>
          </w:p>
        </w:tc>
        <w:tc>
          <w:tcPr>
            <w:tcW w:type="dxa" w:w="451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At announcement, company stated no participant was a sanctions target or owned/controlled by one in US/EU/UK/Switzerland.</w:t>
            </w:r>
          </w:p>
        </w:tc>
        <w:tc>
          <w:tcPr>
            <w:tcW w:type="dxa" w:w="31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The company statement was a point-in-time representation rather than a continuing status finding.</w:t>
            </w:r>
          </w:p>
        </w:tc>
      </w:tr>
      <w:tr>
        <w:trPr>
          <w:cantSplit/>
        </w:trPr>
        <w:tc>
          <w:tcPr>
            <w:tcW w:type="dxa" w:w="17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Closing</w:t>
            </w:r>
          </w:p>
        </w:tc>
        <w:tc>
          <w:tcPr>
            <w:tcW w:type="dxa" w:w="451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Initial closing May 2024; final completion July 2024.</w:t>
            </w:r>
          </w:p>
        </w:tc>
        <w:tc>
          <w:tcPr>
            <w:tcW w:type="dxa" w:w="31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Final completion in July 2024 is the main legal separation date.</w:t>
            </w:r>
          </w:p>
        </w:tc>
      </w:tr>
      <w:tr>
        <w:trPr>
          <w:cantSplit/>
        </w:trPr>
        <w:tc>
          <w:tcPr>
            <w:tcW w:type="dxa" w:w="17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Retained businesses</w:t>
            </w:r>
          </w:p>
        </w:tc>
        <w:tc>
          <w:tcPr>
            <w:tcW w:type="dxa" w:w="451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Nebius AI, Toloka, Avride and TripleTen, plus investments including ClickHouse.</w:t>
            </w:r>
          </w:p>
        </w:tc>
        <w:tc>
          <w:tcPr>
            <w:tcW w:type="dxa" w:w="31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Nebius retained the non-Russian international businesses and investment portfolio.</w:t>
            </w:r>
          </w:p>
        </w:tc>
      </w:tr>
    </w:tbl>
    <w:p>
      <w:pPr>
        <w:spacing w:after="0"/>
        <w:widowControl w:val="1"/>
      </w:pPr>
    </w:p>
    <w:p>
      <w:pPr>
        <w:spacing w:before="0" w:after="100"/>
        <w:widowControl w:val="1"/>
      </w:pPr>
      <w:r>
        <w:rPr>
          <w:rFonts w:ascii="Aptos" w:hAnsi="Aptos"/>
          <w:b w:val="0"/>
          <w:i/>
          <w:color w:val="5B6864"/>
          <w:sz w:val="16"/>
        </w:rPr>
        <w:t>Evidence: [S05], [S06], [S16], [S17]</w:t>
      </w:r>
    </w:p>
    <w:p>
      <w:pPr>
        <w:pStyle w:val="Heading1"/>
        <w:widowControl w:val="1"/>
      </w:pPr>
      <w:r>
        <w:t>Nebius Group N.V.: current profile</w:t>
      </w:r>
    </w:p>
    <w:tbl>
      <w:tblPr>
        <w:tblW w:type="dxa" w:w="9360"/>
        <w:jc w:val="left"/>
        <w:tblLayout w:type="fixed"/>
        <w:tblLook w:firstColumn="1" w:firstRow="1" w:lastColumn="0" w:lastRow="0" w:noHBand="0" w:noVBand="1" w:val="04A0"/>
        <w:tblInd w:w="120" w:type="dxa"/>
      </w:tblPr>
      <w:tblGrid>
        <w:gridCol w:w="1550"/>
        <w:gridCol w:w="4680"/>
        <w:gridCol w:w="3130"/>
      </w:tblGrid>
      <w:tr>
        <w:trPr>
          <w:tblHeader w:val="true"/>
          <w:cantSplit/>
        </w:trPr>
        <w:tc>
          <w:tcPr>
            <w:tcW w:type="dxa" w:w="155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6"/>
              </w:rPr>
              <w:t>Attribute</w:t>
            </w:r>
          </w:p>
        </w:tc>
        <w:tc>
          <w:tcPr>
            <w:tcW w:type="dxa" w:w="468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6"/>
              </w:rPr>
              <w:t>Current evidence</w:t>
            </w:r>
          </w:p>
        </w:tc>
        <w:tc>
          <w:tcPr>
            <w:tcW w:type="dxa" w:w="313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6"/>
              </w:rPr>
              <w:t>Risk significance</w:t>
            </w:r>
          </w:p>
        </w:tc>
      </w:tr>
      <w:tr>
        <w:trPr>
          <w:cantSplit/>
        </w:trPr>
        <w:tc>
          <w:tcPr>
            <w:tcW w:type="dxa" w:w="15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Legal identity</w:t>
            </w:r>
          </w:p>
        </w:tc>
        <w:tc>
          <w:tcPr>
            <w:tcW w:type="dxa" w:w="468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Dutch public company, Nasdaq ticker NBIS, headquartered in Amsterdam.</w:t>
            </w:r>
          </w:p>
        </w:tc>
        <w:tc>
          <w:tcPr>
            <w:tcW w:type="dxa" w:w="313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Regulated disclosure environment.</w:t>
            </w:r>
          </w:p>
        </w:tc>
      </w:tr>
      <w:tr>
        <w:trPr>
          <w:cantSplit/>
        </w:trPr>
        <w:tc>
          <w:tcPr>
            <w:tcW w:type="dxa" w:w="15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Leadership</w:t>
            </w:r>
          </w:p>
        </w:tc>
        <w:tc>
          <w:tcPr>
            <w:tcW w:type="dxa" w:w="468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Arkady Volozh, founder/CEO/Executive Director; returned in August 2024.</w:t>
            </w:r>
          </w:p>
        </w:tc>
        <w:tc>
          <w:tcPr>
            <w:tcW w:type="dxa" w:w="313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Key-person and control concentration.</w:t>
            </w:r>
          </w:p>
        </w:tc>
      </w:tr>
      <w:tr>
        <w:trPr>
          <w:cantSplit/>
        </w:trPr>
        <w:tc>
          <w:tcPr>
            <w:tcW w:type="dxa" w:w="15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Core business</w:t>
            </w:r>
          </w:p>
        </w:tc>
        <w:tc>
          <w:tcPr>
            <w:tcW w:type="dxa" w:w="468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AI cloud and infrastructure services, including large clusters of specialised computer chips, software and services for developers.</w:t>
            </w:r>
          </w:p>
        </w:tc>
        <w:tc>
          <w:tcPr>
            <w:tcW w:type="dxa" w:w="313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Creates risks involving export restrictions, data protection, misuse and important computing infrastructure.</w:t>
            </w:r>
          </w:p>
        </w:tc>
      </w:tr>
      <w:tr>
        <w:trPr>
          <w:cantSplit/>
        </w:trPr>
        <w:tc>
          <w:tcPr>
            <w:tcW w:type="dxa" w:w="15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Other businesses</w:t>
            </w:r>
          </w:p>
        </w:tc>
        <w:tc>
          <w:tcPr>
            <w:tcW w:type="dxa" w:w="468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Avride and TripleTen consolidated; equity stakes include ClickHouse and Toloka.</w:t>
            </w:r>
          </w:p>
        </w:tc>
        <w:tc>
          <w:tcPr>
            <w:tcW w:type="dxa" w:w="313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Portfolio and related-party complexity.</w:t>
            </w:r>
          </w:p>
        </w:tc>
      </w:tr>
      <w:tr>
        <w:trPr>
          <w:cantSplit/>
        </w:trPr>
        <w:tc>
          <w:tcPr>
            <w:tcW w:type="dxa" w:w="15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Scale</w:t>
            </w:r>
          </w:p>
        </w:tc>
        <w:tc>
          <w:tcPr>
            <w:tcW w:type="dxa" w:w="468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Q1 2026 revenue $399.0m; purchases of property/equipment/intangibles $2.473bn in the quarter.</w:t>
            </w:r>
          </w:p>
        </w:tc>
        <w:tc>
          <w:tcPr>
            <w:tcW w:type="dxa" w:w="313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Very rapid capital deployment and execution risk.</w:t>
            </w:r>
          </w:p>
        </w:tc>
      </w:tr>
      <w:tr>
        <w:trPr>
          <w:cantSplit/>
        </w:trPr>
        <w:tc>
          <w:tcPr>
            <w:tcW w:type="dxa" w:w="15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Share capital</w:t>
            </w:r>
          </w:p>
        </w:tc>
        <w:tc>
          <w:tcPr>
            <w:tcW w:type="dxa" w:w="468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At 31 Mar 2026: 220.4m Class A and 33.5m Class B shares outstanding, excluding treasury shares.</w:t>
            </w:r>
          </w:p>
        </w:tc>
        <w:tc>
          <w:tcPr>
            <w:tcW w:type="dxa" w:w="313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Dual-class governance.</w:t>
            </w:r>
          </w:p>
        </w:tc>
      </w:tr>
      <w:tr>
        <w:trPr>
          <w:cantSplit/>
        </w:trPr>
        <w:tc>
          <w:tcPr>
            <w:tcW w:type="dxa" w:w="15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Customer commitments</w:t>
            </w:r>
          </w:p>
        </w:tc>
        <w:tc>
          <w:tcPr>
            <w:tcW w:type="dxa" w:w="468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Microsoft agreement valued at up to approximately $17.4bn through 2031, potentially increasing to approximately $19.4bn; five-year Meta arrangement with a maximum potential value of approximately $27bn, comprising $12bn of dedicated capacity and up to $15bn relating to specified otherwise-unsold capacity.</w:t>
            </w:r>
          </w:p>
        </w:tc>
        <w:tc>
          <w:tcPr>
            <w:tcW w:type="dxa" w:w="313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Material customer concentration, financing dependency, deployment and service-delivery risk.</w:t>
            </w:r>
          </w:p>
        </w:tc>
      </w:tr>
      <w:tr>
        <w:trPr>
          <w:cantSplit/>
        </w:trPr>
        <w:tc>
          <w:tcPr>
            <w:tcW w:type="dxa" w:w="15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Expansion</w:t>
            </w:r>
          </w:p>
        </w:tc>
        <w:tc>
          <w:tcPr>
            <w:tcW w:type="dxa" w:w="468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Up to 1.2 GW power and land secured for a Pennsylvania AI factory; a separate Finland facility of up to 310 MW announced in March 2026.</w:t>
            </w:r>
          </w:p>
        </w:tc>
        <w:tc>
          <w:tcPr>
            <w:tcW w:type="dxa" w:w="313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Energy, permitting, environmental, community and construction-execution exposure.</w:t>
            </w:r>
          </w:p>
        </w:tc>
      </w:tr>
      <w:tr>
        <w:trPr>
          <w:cantSplit/>
        </w:trPr>
        <w:tc>
          <w:tcPr>
            <w:tcW w:type="dxa" w:w="15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Strategic investor</w:t>
            </w:r>
          </w:p>
        </w:tc>
        <w:tc>
          <w:tcPr>
            <w:tcW w:type="dxa" w:w="468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NVIDIA reported an interest in approximately 9.3% of Nebius under SEC rules in July 2026. Most of this represented rights to receive shares later under a $2bn investment instrument.</w:t>
            </w:r>
          </w:p>
        </w:tc>
        <w:tc>
          <w:tcPr>
            <w:tcW w:type="dxa" w:w="313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Supports Nebius’s funding and market position, but increases dependence on NVIDIA and may reduce existing shareholders’ percentage ownership.</w:t>
            </w:r>
          </w:p>
        </w:tc>
      </w:tr>
      <w:tr>
        <w:trPr>
          <w:cantSplit/>
        </w:trPr>
        <w:tc>
          <w:tcPr>
            <w:tcW w:type="dxa" w:w="15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Acquisitions</w:t>
            </w:r>
          </w:p>
        </w:tc>
        <w:tc>
          <w:tcPr>
            <w:tcW w:type="dxa" w:w="468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Tavily acquired in February 2026; Eigen AI acquisition completed in June 2026 following an approximately $643m signing valuation.</w:t>
            </w:r>
          </w:p>
        </w:tc>
        <w:tc>
          <w:tcPr>
            <w:tcW w:type="dxa" w:w="313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Creates risks involving integration, valuation, staff retention, product oversight and a reduction in existing shareholders’ percentage ownership.</w:t>
            </w:r>
          </w:p>
        </w:tc>
      </w:tr>
    </w:tbl>
    <w:p>
      <w:pPr>
        <w:spacing w:after="0"/>
        <w:widowControl w:val="1"/>
      </w:pPr>
    </w:p>
    <w:p>
      <w:pPr>
        <w:spacing w:before="0" w:after="100"/>
        <w:widowControl w:val="1"/>
      </w:pPr>
      <w:r>
        <w:rPr>
          <w:i/>
          <w:color w:val="5B6864"/>
        </w:rPr>
        <w:t>Evidence: [S07], [S08], [S19], [S24], [S30], [S35], [S36], [S37], [S38], [S39], [S40], [S41]</w:t>
      </w:r>
    </w:p>
    <w:p>
      <w:pPr>
        <w:pStyle w:val="Heading2"/>
        <w:widowControl w:val="1"/>
      </w:pPr>
      <w:r>
        <w:t>Governance and control</w:t>
      </w:r>
    </w:p>
    <w:p>
      <w:pPr>
        <w:widowControl w:val="1"/>
      </w:pPr>
      <w:r>
        <w:t>Nebius’s FY2025 filing states that Class B shares carried approximately 52% of the voting power attached to ordinary shares while representing approximately 11% of the financial interest. Nebius describes itself as a Nasdaq “controlled company”, meaning that one person or group can exercise more than half of the voting power. Filings link a substantial Class B holding to the LASTAR Trust, established by Volozh, with Highvern Cayman Limited as trustee and beneficiaries including Volozh or members of his family.</w:t>
      </w:r>
    </w:p>
    <w:p>
      <w:pPr>
        <w:widowControl w:val="1"/>
      </w:pPr>
      <w:r>
        <w:rPr>
          <w:rFonts w:ascii="Aptos" w:hAnsi="Aptos"/>
          <w:b w:val="0"/>
          <w:i w:val="0"/>
          <w:color w:val="17221F"/>
          <w:sz w:val="20"/>
        </w:rPr>
        <w:t>Earlier disclosures recorded an undertaking by Volozh not to direct the trustee’s votes, with the trustee voting in line with independent directors’ recommendations. The public evidence reviewed does not establish whether that undertaking remains in force, whether voting mandates changed after his return as CEO, or the current control mechanics of the trust holding reported in the 2026 Form 3.</w:t>
      </w:r>
    </w:p>
    <w:p>
      <w:pPr>
        <w:spacing w:before="0" w:after="100"/>
        <w:widowControl w:val="1"/>
      </w:pPr>
      <w:r>
        <w:rPr>
          <w:rFonts w:ascii="Aptos" w:hAnsi="Aptos"/>
          <w:b w:val="0"/>
          <w:i/>
          <w:color w:val="5B6864"/>
          <w:sz w:val="16"/>
        </w:rPr>
        <w:t>Evidence: [S07], [S09], [S10], [S22], [S27]</w:t>
      </w:r>
    </w:p>
    <w:p>
      <w:pPr>
        <w:pStyle w:val="RiskMedium"/>
        <w:widowControl w:val="1"/>
      </w:pPr>
      <w:r/>
      <w:r>
        <w:rPr>
          <w:b/>
        </w:rPr>
        <w:t xml:space="preserve">Governance assessment  </w:t>
      </w:r>
      <w:r>
        <w:t>Having different share classes with different voting rights is not automatically improper. However, it gives other shareholders less influence and may allow Nebius to use exemptions from some Nasdaq governance requirements. The current instructions governing how the trustee votes are important to understanding Volozh’s actual influence, but their full terms were not public.</w:t>
      </w:r>
    </w:p>
    <w:p>
      <w:pPr>
        <w:widowControl w:val="1"/>
      </w:pPr>
      <w:r/>
    </w:p>
    <w:p>
      <w:pPr>
        <w:pStyle w:val="Heading1"/>
        <w:pageBreakBefore w:val="0"/>
      </w:pPr>
      <w:r>
        <w:t>Important developments in 2026</w:t>
      </w:r>
    </w:p>
    <w:p>
      <w:pPr/>
      <w:r>
        <w:t>This section covers events in 2026 that directly involve Nebius or businesses that it includes in its group accounts. They are included because they make Nebius’s current position more challenging: the company is expanding quickly, taking on very large customer commitments, raising capital and facing direct safety and court proceedings. Share sales by senior leaders may also affect how investors view management’s commitment to the company. These events do not show fraud, criminal conduct or a new sanctions issue, but they create clear risks involving safety, litigation, dependence on a small number of customers, financing, delivery and governance.</w:t>
      </w:r>
    </w:p>
    <w:p>
      <w:pPr>
        <w:pStyle w:val="Heading2"/>
      </w:pPr>
      <w:r>
        <w:t>Avride safety investigation</w:t>
      </w:r>
    </w:p>
    <w:p>
      <w:pPr>
        <w:pStyle w:val="EvidenceNote"/>
      </w:pPr>
      <w:r>
        <w:rPr>
          <w:b/>
          <w:color w:val="123B34"/>
        </w:rPr>
        <w:t xml:space="preserve">Why this is included  </w:t>
      </w:r>
      <w:r>
        <w:rPr>
          <w:color w:val="17221F"/>
        </w:rPr>
        <w:t>Avride is a consolidated Nebius business. A safety investigation involving its autonomous-driving system therefore creates direct regulatory, insurance, financial and reputational exposure for Nebius.</w:t>
      </w:r>
    </w:p>
    <w:p>
      <w:pPr/>
      <w:r>
        <w:t>On 6 May 2026, the US National Highway Traffic Safety Administration’s Office of Defects Investigation opened Preliminary Evaluation PE26003 into the Avride Automated Driving System. The opening record identifies 16 reported crashes, one alleged minor injury and an estimated affected population of 200 vehicles. NHTSA described reported behaviours involving lane changes, responses to other vehicles and avoidance of stationary objects. It noted that the vehicles were operating with the automated driving system engaged and under the supervision of in-vehicle operators.</w:t>
      </w:r>
    </w:p>
    <w:p>
      <w:pPr/>
      <w:r>
        <w:t>This is an open preliminary evaluation intended to determine the scope, nature and severity of potential safety problems. It is not a final finding that Avride or Nebius violated safety law. As Avride remains a consolidated Nebius business, the investigation creates direct product-safety, regulatory, insurance and reputational exposure for the group.</w:t>
      </w:r>
    </w:p>
    <w:p>
      <w:pPr/>
      <w:r>
        <w:rPr>
          <w:i/>
          <w:color w:val="5B6864"/>
        </w:rPr>
        <w:t>Evidence: [S32]</w:t>
      </w:r>
    </w:p>
    <w:p>
      <w:pPr>
        <w:pStyle w:val="Heading2"/>
      </w:pPr>
      <w:r>
        <w:t>Birmingham data-centre litigation</w:t>
      </w:r>
    </w:p>
    <w:p>
      <w:pPr>
        <w:pStyle w:val="EvidenceNote"/>
      </w:pPr>
      <w:r/>
      <w:r>
        <w:rPr>
          <w:b/>
        </w:rPr>
        <w:t xml:space="preserve">Why this is included  </w:t>
      </w:r>
      <w:r>
        <w:t>Nebius is a named defendant and the dispute concerns a data centre intended to support its AI infrastructure. A court order temporarily stopping work, or another adverse outcome, could delay the project, increase costs and affect confidence among the local community and regulators.</w:t>
      </w:r>
    </w:p>
    <w:p>
      <w:pPr/>
      <w:r>
        <w:t>Nebius is directly involved in a court case concerning its BHM01 AI data-centre project in Birmingham, Alabama. A formal complaint filed on 29 June 2026 by two homeowners names Nebius, Hoar Construction, Lakeshore Data Center and the City of Birmingham as defendants. It asks the court to clarify the parties’ rights, temporarily or permanently stop the relevant activity and award money. It alleges that the project was not properly authorised under local planning rules and also alleges noise, vibration, dust, truck traffic, loss of enjoyment and property damage. These are the homeowners’ allegations and have not been established as facts by a final judgment.</w:t>
      </w:r>
    </w:p>
    <w:p>
      <w:pPr/>
      <w:r>
        <w:t>On 10 July 2026, the Jefferson County Circuit Court ruled that the case could proceed to a hearing on whether a temporary order should stop the relevant activity. The order dealt only with whether the homeowners had first used the available administrative process; it did not decide whether their underlying claims were correct. The case creates direct risks involving planning permission, construction delay, cost, community relations and reputation.</w:t>
      </w:r>
    </w:p>
    <w:p>
      <w:pPr/>
      <w:r>
        <w:rPr>
          <w:i/>
          <w:color w:val="5B6864"/>
        </w:rPr>
        <w:t>Evidence: [S33], [S34]</w:t>
      </w:r>
    </w:p>
    <w:p>
      <w:pPr>
        <w:pStyle w:val="Heading2"/>
      </w:pPr>
      <w:r>
        <w:t>Major customer and capital commitments</w:t>
      </w:r>
    </w:p>
    <w:p>
      <w:pPr>
        <w:pStyle w:val="EvidenceNote"/>
      </w:pPr>
      <w:r>
        <w:rPr>
          <w:b/>
          <w:color w:val="123B34"/>
        </w:rPr>
        <w:t xml:space="preserve">Why this is included  </w:t>
      </w:r>
      <w:r>
        <w:rPr>
          <w:color w:val="17221F"/>
        </w:rPr>
        <w:t>The Meta and Microsoft agreements are central to Nebius’s growth case, but their scale concentrates revenue expectations in a small number of customers and requires substantial financing, infrastructure delivery and service performance.</w:t>
      </w:r>
    </w:p>
    <w:p>
      <w:pPr/>
      <w:r>
        <w:t>In March 2026, Nebius entered into a five-year infrastructure arrangement with Meta with a maximum potential contract value of approximately $27bn. The arrangement comprises $12bn of dedicated capacity and a further potential $15bn relating to specified capacity that Nebius intends to offer to other cloud customers but that Meta may be required to purchase if it remains unsold. Accordingly, $27bn is a maximum potential value rather than an unconditional committed purchase.</w:t>
      </w:r>
    </w:p>
    <w:p>
      <w:pPr/>
      <w:r>
        <w:t>Nebius’s Microsoft agreement, already identified in this report, has an estimated value of up to approximately $17.4bn through 2031. Microsoft may acquire additional capacity and services that could increase the value to approximately $19.4bn. These contracts support revenue visibility and external validation but create material customer-concentration, delivery, financing and infrastructure-execution dependencies.</w:t>
      </w:r>
    </w:p>
    <w:p>
      <w:pPr/>
      <w:r>
        <w:rPr>
          <w:i/>
          <w:color w:val="5B6864"/>
        </w:rPr>
        <w:t>Evidence: [S35], [S41]</w:t>
      </w:r>
    </w:p>
    <w:p>
      <w:pPr>
        <w:pStyle w:val="Heading2"/>
      </w:pPr>
      <w:r>
        <w:t>NVIDIA investment and ownership</w:t>
      </w:r>
    </w:p>
    <w:p>
      <w:pPr>
        <w:pStyle w:val="EvidenceNote"/>
      </w:pPr>
      <w:r>
        <w:rPr>
          <w:b/>
          <w:color w:val="123B34"/>
        </w:rPr>
        <w:t xml:space="preserve">Why this is included  </w:t>
      </w:r>
      <w:r>
        <w:rPr>
          <w:color w:val="17221F"/>
        </w:rPr>
        <w:t>NVIDIA is both a major technology supplier and a significant investor. The relationship strengthens Nebius’s funding and market position while increasing supplier dependence, ownership concentration and potential shareholder dilution.</w:t>
      </w:r>
    </w:p>
    <w:p>
      <w:pPr/>
      <w:r>
        <w:t>In March 2026, NVIDIA agreed to invest $2bn through a financial instrument giving it rights to 21,065,936 Nebius Class A shares after specified conditions were met. NVIDIA’s July 2026 Schedule 13G reported that, under SEC reporting rules, it was treated as having an interest in approximately 9.3% of Nebius, or 22,256,412 Class A shares. That amount comprised 1,190,476 directly reported shares and 21,065,936 shares covered by the financial instrument.</w:t>
      </w:r>
    </w:p>
    <w:p>
      <w:pPr/>
      <w:r>
        <w:t>NVIDIA could not obtain or sell the shares covered by the instrument before 11 September 2026. The reported 9.3% therefore includes shares that NVIDIA had a future right to receive; it does not mean that NVIDIA could vote all of those shares at the review date. The investment gives Nebius capital and strengthens its relationship with a major technology supplier, but it also increases dependence on that supplier and could reduce the percentage ownership of existing shareholders.</w:t>
      </w:r>
    </w:p>
    <w:p>
      <w:pPr/>
      <w:r>
        <w:rPr>
          <w:i/>
          <w:color w:val="5B6864"/>
        </w:rPr>
        <w:t>Evidence: [S36], [S37]</w:t>
      </w:r>
    </w:p>
    <w:p>
      <w:pPr>
        <w:pStyle w:val="Heading2"/>
      </w:pPr>
      <w:r>
        <w:t>Acquisitions and infrastructure expansion</w:t>
      </w:r>
    </w:p>
    <w:p>
      <w:pPr>
        <w:pStyle w:val="EvidenceNote"/>
      </w:pPr>
      <w:r>
        <w:rPr>
          <w:b/>
          <w:color w:val="123B34"/>
        </w:rPr>
        <w:t xml:space="preserve">Why this is included  </w:t>
      </w:r>
      <w:r>
        <w:rPr>
          <w:color w:val="17221F"/>
        </w:rPr>
        <w:t>The acquisitions and new data-centre capacity show rapid deployment of capital and management attention. They increase integration, valuation, talent-retention, permitting, energy-supply and delivery risk.</w:t>
      </w:r>
    </w:p>
    <w:p>
      <w:pPr/>
      <w:r>
        <w:t>Nebius completed its acquisition of Tavily in February 2026. Tavily provides real-time search infrastructure for large-language-model and agentic-AI applications. The transaction value was not publicly disclosed and included potential performance-related consideration.</w:t>
      </w:r>
    </w:p>
    <w:p>
      <w:pPr/>
      <w:r>
        <w:t>Nebius subsequently completed its acquisition of Eigen AI on 10 June 2026. The consideration had an aggregate value at signing of approximately $643m, payable through a combination of cash and Nebius Class A shares, subject to adjustments. The acquisition adds inference and model-optimisation capabilities but creates valuation, integration, retention and dilution considerations.</w:t>
      </w:r>
    </w:p>
    <w:p>
      <w:pPr/>
      <w:r>
        <w:t>Nebius also announced a new AI facility in Lappeenranta, Finland, with planned capacity of up to 310 MW. Taken with its other announced data-centre projects, the development reinforces the group’s substantial requirements for capital, energy, hardware, permitting and delivery capability.</w:t>
      </w:r>
    </w:p>
    <w:p>
      <w:pPr/>
      <w:r>
        <w:rPr>
          <w:i/>
          <w:color w:val="5B6864"/>
        </w:rPr>
        <w:t>Evidence: [S36], [S38], [S39], [S40]</w:t>
      </w:r>
    </w:p>
    <w:p>
      <w:pPr>
        <w:pStyle w:val="Heading2"/>
      </w:pPr>
      <w:r>
        <w:t>Share sales by senior leaders and investor confidence</w:t>
      </w:r>
    </w:p>
    <w:p>
      <w:pPr>
        <w:pStyle w:val="EvidenceNote"/>
      </w:pPr>
      <w:r/>
      <w:r>
        <w:rPr>
          <w:b/>
        </w:rPr>
        <w:t xml:space="preserve">Why this is included  </w:t>
      </w:r>
      <w:r>
        <w:t>The transactions involve Nebius’s founder and Chief Executive Officer and other senior leaders. They matter because repeated share sales may affect how investors view management’s commitment and confidence. The reason for each sale must nevertheless be considered: an automatic tax sale or a sale arranged months earlier does not by itself show a negative view of Nebius.</w:t>
      </w:r>
    </w:p>
    <w:p>
      <w:pPr/>
      <w:r>
        <w:t>SEC filings reported a number of Nebius Class A share disposals by senior insiders during 2026. On 1 July 2026, Volozh sold 46,627 shares and CTO Danila Shtan sold 16,937 shares, each at $235.45. Both filings state that the shares were sold automatically when restricted-share units vested, solely to meet estimated tax-withholding obligations, and that the transactions were not discretionary. Volozh’s earlier disposal of 33,358 shares on 1 April 2026 was reported on the same basis.</w:t>
      </w:r>
    </w:p>
    <w:p>
      <w:pPr/>
      <w:r>
        <w:t>Other transactions were arranged in advance. Chief Revenue Officer Marc Boroditsky’s reported sale of 4,500 shares on 15 May 2026 was made under a Rule 10b5-1 plan adopted on 15 September 2025. Director Elena Bunina’s reported May sales, including 10,819 shares on 6 May, were made under a plan adopted on 24 November 2025. Rule 10b5-1 plans allow sales to be scheduled in advance under US securities rules. A Quiver Quantitative snapshot published on 1 July reported 32 open-market insider sales and no purchases during the preceding six months. That total included automatic tax-related and pre-arranged transactions and did not include the later filings for the 1 July Volozh and Shtan sales. The pattern may affect investor confidence, but it does not show that management chose to sell because it expected Nebius to perform poorly.</w:t>
      </w:r>
    </w:p>
    <w:p>
      <w:pPr/>
      <w:r>
        <w:rPr>
          <w:i/>
          <w:color w:val="5B6864"/>
        </w:rPr>
        <w:t>Evidence: [S44], [S45], [S46], [S47], [S48], [S49]</w:t>
      </w:r>
    </w:p>
    <w:p>
      <w:pPr>
        <w:pStyle w:val="Heading2"/>
      </w:pPr>
      <w:r>
        <w:t>Why the 2026 developments matter overall</w:t>
      </w:r>
    </w:p>
    <w:p>
      <w:pPr/>
      <w:r>
        <w:t>The 2026 developments do not change the finding that no money-laundering, fraud or criminal finding against Volozh or Nebius was identified. They do, however, make Nebius’s operational position more concerning because of the Avride safety review, data-centre court proceedings, dependence on a small number of very large customers, heavy investment, supplier dependence and the need to integrate acquisitions. Executive share sales create an additional but limited concern about leadership alignment and investor confidence. Important reported sales were automatic for tax purposes or made under plans agreed in advance. Conduct by Russian Yandex after the 2024 separation should not be treated as Nebius’s conduct without evidence of a clear continuing connection.</w:t>
      </w:r>
    </w:p>
    <w:p>
      <w:pPr/>
      <w:r>
        <w:rPr>
          <w:i/>
          <w:color w:val="5B6864"/>
        </w:rPr>
        <w:t>Evidence: [S32], [S33], [S34], [S35], [S36], [S37], [S38], [S39], [S40], [S41], [S44], [S45], [S46], [S47], [S48], [S49]</w:t>
      </w:r>
    </w:p>
    <w:p>
      <w:pPr>
        <w:pStyle w:val="Heading1"/>
        <w:widowControl w:val="1"/>
      </w:pPr>
      <w:r>
        <w:t>Toloka: current profile and legacy risk</w:t>
      </w:r>
    </w:p>
    <w:p>
      <w:pPr>
        <w:pStyle w:val="EvidenceNote"/>
      </w:pPr>
      <w:r/>
      <w:r>
        <w:rPr>
          <w:b/>
        </w:rPr>
        <w:t xml:space="preserve">Why this is included  </w:t>
      </w:r>
      <w:r>
        <w:t>Toloka began within Yandex and remained part of the international business that became Nebius after the 2024 separation. In 2025, Nebius stopped controlling a majority of Toloka’s votes and stopped treating Toloka as a subsidiary in its group accounts. However, Nebius reported that it kept a significant financial interest, and Volozh and another Nebius director joined Toloka’s board. Toloka therefore remains relevant to Nebius’s investments, governance and reputation. Toloka’s current conduct is not automatically Nebius’s conduct, and this report separates historical allegations from the present ownership and control position.</w:t>
      </w:r>
    </w:p>
    <w:p>
      <w:pPr>
        <w:pStyle w:val="Heading2"/>
        <w:widowControl w:val="1"/>
      </w:pPr>
      <w:r>
        <w:t>Business and ownership</w:t>
      </w:r>
    </w:p>
    <w:p>
      <w:pPr>
        <w:widowControl w:val="1"/>
      </w:pPr>
      <w:r>
        <w:t>Toloka provides data and human testing used to train, improve and evaluate AI systems. This includes testing deliberately designed to reveal unsafe or harmful model behaviour. Toloka began with crowdsourced data labelling and now combines automated tools with human experts.</w:t>
      </w:r>
    </w:p>
    <w:p>
      <w:pPr>
        <w:widowControl w:val="1"/>
      </w:pPr>
      <w:r>
        <w:t>In May 2025, a $72m funding round was reported as led by Bezos Expeditions with Mikhail Parakhin participating. Nebius then lost majority voting control and stopped treating Toloka as a subsidiary in its group accounts. Nebius reports the investment separately and states that it retained a significant majority financial interest. Volozh and Nebius director Charles Ryan were announced as non-executive Toloka directors; Olga Megorskaya remained Chief Executive Officer and Mikhail Parakhin became executive chair.</w:t>
      </w:r>
    </w:p>
    <w:p>
      <w:pPr>
        <w:spacing w:before="0" w:after="100"/>
        <w:widowControl w:val="1"/>
      </w:pPr>
      <w:r>
        <w:rPr>
          <w:rFonts w:ascii="Aptos" w:hAnsi="Aptos"/>
          <w:b w:val="0"/>
          <w:i/>
          <w:color w:val="5B6864"/>
          <w:sz w:val="16"/>
        </w:rPr>
        <w:t>Evidence: [S11], [S15], [S23], [S29]</w:t>
      </w:r>
    </w:p>
    <w:tbl>
      <w:tblPr>
        <w:tblW w:type="dxa" w:w="9360"/>
        <w:jc w:val="left"/>
        <w:tblLayout w:type="fixed"/>
        <w:tblLook w:firstColumn="1" w:firstRow="1" w:lastColumn="0" w:lastRow="0" w:noHBand="0" w:noVBand="1" w:val="04A0"/>
        <w:tblInd w:w="120" w:type="dxa"/>
      </w:tblPr>
      <w:tblGrid>
        <w:gridCol w:w="1600"/>
        <w:gridCol w:w="4430"/>
        <w:gridCol w:w="3330"/>
      </w:tblGrid>
      <w:tr>
        <w:trPr>
          <w:tblHeader w:val="true"/>
          <w:cantSplit/>
        </w:trPr>
        <w:tc>
          <w:tcPr>
            <w:tcW w:type="dxa" w:w="160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5"/>
              </w:rPr>
              <w:t>Risk domain</w:t>
            </w:r>
          </w:p>
        </w:tc>
        <w:tc>
          <w:tcPr>
            <w:tcW w:type="dxa" w:w="443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5"/>
              </w:rPr>
              <w:t>Evidence / concern</w:t>
            </w:r>
          </w:p>
        </w:tc>
        <w:tc>
          <w:tcPr>
            <w:tcW w:type="dxa" w:w="333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5"/>
              </w:rPr>
              <w:t>Assessment significance</w:t>
            </w:r>
          </w:p>
        </w:tc>
      </w:tr>
      <w:tr>
        <w:trPr>
          <w:cantSplit/>
        </w:trPr>
        <w:tc>
          <w:tcPr>
            <w:tcW w:type="dxa" w:w="16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Sanctions / customer use</w:t>
            </w:r>
          </w:p>
        </w:tc>
        <w:tc>
          <w:tcPr>
            <w:tcW w:type="dxa" w:w="443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2024 investigation alleged tasks for EU-sanctioned Russian facial-recognition companies, including evidence suggesting post-designation activity.</w:t>
            </w:r>
          </w:p>
        </w:tc>
        <w:tc>
          <w:tcPr>
            <w:tcW w:type="dxa" w:w="333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Creates important historical concerns about sanctions, the customers served, how the work may have been used and the effect on reputation.</w:t>
            </w:r>
          </w:p>
        </w:tc>
      </w:tr>
      <w:tr>
        <w:trPr>
          <w:cantSplit/>
        </w:trPr>
        <w:tc>
          <w:tcPr>
            <w:tcW w:type="dxa" w:w="16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Company response</w:t>
            </w:r>
          </w:p>
        </w:tc>
        <w:tc>
          <w:tcPr>
            <w:tcW w:type="dxa" w:w="443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Toloka said contracts were with Toloka RU LLC; EU/Swiss/US entities did not provide services or receive payments; activity was immaterial and migration was underway.</w:t>
            </w:r>
          </w:p>
        </w:tc>
        <w:tc>
          <w:tcPr>
            <w:tcW w:type="dxa" w:w="333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 response limits the apparent connection to Toloka’s EU, Swiss and US entities, but does not independently settle the questions about what happened.</w:t>
            </w:r>
          </w:p>
        </w:tc>
      </w:tr>
      <w:tr>
        <w:trPr>
          <w:cantSplit/>
        </w:trPr>
        <w:tc>
          <w:tcPr>
            <w:tcW w:type="dxa" w:w="16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Human rights</w:t>
            </w:r>
          </w:p>
        </w:tc>
        <w:tc>
          <w:tcPr>
            <w:tcW w:type="dxa" w:w="443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Facial recognition reportedly supported systems used to identify and detain protesters; workers said use purposes were unclear.</w:t>
            </w:r>
          </w:p>
        </w:tc>
        <w:tc>
          <w:tcPr>
            <w:tcW w:type="dxa" w:w="333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Creates an important human-rights concern where technology is used to identify and detain people.</w:t>
            </w:r>
          </w:p>
        </w:tc>
      </w:tr>
      <w:tr>
        <w:trPr>
          <w:cantSplit/>
        </w:trPr>
        <w:tc>
          <w:tcPr>
            <w:tcW w:type="dxa" w:w="16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Worker model</w:t>
            </w:r>
          </w:p>
        </w:tc>
        <w:tc>
          <w:tcPr>
            <w:tcW w:type="dxa" w:w="443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Global gig/crowd contributors historically completed microtasks; work has migrated in part to Mindrift.</w:t>
            </w:r>
          </w:p>
        </w:tc>
        <w:tc>
          <w:tcPr>
            <w:tcW w:type="dxa" w:w="333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Creates concerns about pay, worker welfare and transparency across a workforce in many countries.</w:t>
            </w:r>
          </w:p>
        </w:tc>
      </w:tr>
      <w:tr>
        <w:trPr>
          <w:cantSplit/>
        </w:trPr>
        <w:tc>
          <w:tcPr>
            <w:tcW w:type="dxa" w:w="16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Privacy / biometrics</w:t>
            </w:r>
          </w:p>
        </w:tc>
        <w:tc>
          <w:tcPr>
            <w:tcW w:type="dxa" w:w="443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Collecting and labelling images of faces creates risks involving biometric data, consent and whether the data is used only for an agreed purpose.</w:t>
            </w:r>
          </w:p>
        </w:tc>
        <w:tc>
          <w:tcPr>
            <w:tcW w:type="dxa" w:w="333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Creates important risks involving privacy, consent, the permitted use of data and how long it is kept.</w:t>
            </w:r>
          </w:p>
        </w:tc>
      </w:tr>
      <w:tr>
        <w:trPr>
          <w:cantSplit/>
        </w:trPr>
        <w:tc>
          <w:tcPr>
            <w:tcW w:type="dxa" w:w="16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Security</w:t>
            </w:r>
          </w:p>
        </w:tc>
        <w:tc>
          <w:tcPr>
            <w:tcW w:type="dxa" w:w="443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Toloka states ISO 27001, ISO 27701, SOC 2 Type II and GDPR-aligned controls.</w:t>
            </w:r>
          </w:p>
        </w:tc>
        <w:tc>
          <w:tcPr>
            <w:tcW w:type="dxa" w:w="333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These certifications support Toloka’s account of its controls, but their detailed coverage and any exceptions were not independently reviewed.</w:t>
            </w:r>
          </w:p>
        </w:tc>
      </w:tr>
      <w:tr>
        <w:trPr>
          <w:cantSplit/>
        </w:trPr>
        <w:tc>
          <w:tcPr>
            <w:tcW w:type="dxa" w:w="16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IP / confidentiality</w:t>
            </w:r>
          </w:p>
        </w:tc>
        <w:tc>
          <w:tcPr>
            <w:tcW w:type="dxa" w:w="443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 terms transfer or license work produced for tasks, impose confidentiality duties and give broad rights over technical usage data and information derived from it.</w:t>
            </w:r>
          </w:p>
        </w:tc>
        <w:tc>
          <w:tcPr>
            <w:tcW w:type="dxa" w:w="333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Creates risks involving confidentiality, proof of where data came from and use of the data to train AI models.</w:t>
            </w:r>
          </w:p>
        </w:tc>
      </w:tr>
      <w:tr>
        <w:trPr>
          <w:cantSplit/>
        </w:trPr>
        <w:tc>
          <w:tcPr>
            <w:tcW w:type="dxa" w:w="16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5"/>
              </w:rPr>
              <w:t>AI safety</w:t>
            </w:r>
          </w:p>
        </w:tc>
        <w:tc>
          <w:tcPr>
            <w:tcW w:type="dxa" w:w="443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Testing designed to reveal unsafe AI behaviour may expose human testers to harmful content and give them access to sensitive systems.</w:t>
            </w:r>
          </w:p>
        </w:tc>
        <w:tc>
          <w:tcPr>
            <w:tcW w:type="dxa" w:w="333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Creates risks from harmful content, access to sensitive systems and the effect of the work on human testers.</w:t>
            </w:r>
          </w:p>
        </w:tc>
      </w:tr>
    </w:tbl>
    <w:p>
      <w:pPr>
        <w:spacing w:after="0"/>
        <w:widowControl w:val="1"/>
      </w:pPr>
    </w:p>
    <w:p>
      <w:pPr>
        <w:spacing w:before="0" w:after="100"/>
        <w:widowControl w:val="1"/>
      </w:pPr>
      <w:r>
        <w:rPr>
          <w:rFonts w:ascii="Aptos" w:hAnsi="Aptos"/>
          <w:b w:val="0"/>
          <w:i/>
          <w:color w:val="5B6864"/>
          <w:sz w:val="16"/>
        </w:rPr>
        <w:t>Evidence: [S12], [S13], [S14], [S31]</w:t>
      </w:r>
    </w:p>
    <w:p>
      <w:pPr>
        <w:pStyle w:val="Heading2"/>
        <w:widowControl w:val="1"/>
      </w:pPr>
      <w:r>
        <w:t>Adverse-media finding: precise formulation</w:t>
      </w:r>
    </w:p>
    <w:p>
      <w:pPr>
        <w:pStyle w:val="RiskHigh"/>
        <w:widowControl w:val="1"/>
      </w:pPr>
      <w:r>
        <w:rPr>
          <w:b/>
          <w:color w:val="123B34"/>
        </w:rPr>
        <w:t xml:space="preserve">Finding status  </w:t>
      </w:r>
      <w:r>
        <w:rPr>
          <w:color w:val="17221F"/>
        </w:rPr>
        <w:t>A March 2024 multi-outlet investigation alleged that Toloka-hosted tasks supported facial-recognition vendors later sanctioned by the EU and identified evidence suggesting some tasks continued after designation. Toloka disputed an EU-entity sanctions breach, stating that contracts and payments sat with its Russian entity and that relevant activity was immaterial during migration. No final enforcement finding was identified.</w:t>
      </w:r>
    </w:p>
    <w:p>
      <w:pPr>
        <w:widowControl w:val="1"/>
      </w:pPr>
      <w:r/>
    </w:p>
    <w:p>
      <w:pPr>
        <w:pStyle w:val="Heading1"/>
        <w:pageBreakBefore w:val="0"/>
        <w:widowControl w:val="1"/>
      </w:pPr>
      <w:r>
        <w:t>Source of wealth and source of funds</w:t>
      </w:r>
    </w:p>
    <w:p>
      <w:pPr>
        <w:pStyle w:val="Heading2"/>
        <w:widowControl w:val="1"/>
      </w:pPr>
      <w:r>
        <w:t>Plausible wealth-generation narrative</w:t>
      </w:r>
    </w:p>
    <w:p>
      <w:pPr>
        <w:widowControl w:val="1"/>
      </w:pPr>
      <w:r>
        <w:rPr>
          <w:rFonts w:ascii="Aptos" w:hAnsi="Aptos"/>
          <w:b w:val="0"/>
          <w:i w:val="0"/>
          <w:color w:val="17221F"/>
          <w:sz w:val="20"/>
        </w:rPr>
        <w:t>Volozh’s disclosed wealth is plausibly linked to founding and long-term ownership of Yandex, its 2011 Nasdaq listing, subsequent equity value and retained or converted interests following the 2024 separation. This is a commercially coherent narrative. The underlying tax, custody, banking and trust records were not available in the open-source evidence reviewed.</w:t>
      </w:r>
    </w:p>
    <w:p>
      <w:pPr>
        <w:pStyle w:val="Callout"/>
        <w:widowControl w:val="1"/>
      </w:pPr>
      <w:r>
        <w:rPr>
          <w:b/>
          <w:color w:val="123B34"/>
        </w:rPr>
        <w:t xml:space="preserve">No adverse conclusion  </w:t>
      </w:r>
      <w:r>
        <w:rPr>
          <w:color w:val="17221F"/>
        </w:rPr>
        <w:t>The review identified elevated risk factors and unresolved evidence limitations; it did not identify a finding that Volozh’s wealth or the divestment proceeds are criminal property.</w:t>
      </w:r>
    </w:p>
    <w:p>
      <w:pPr>
        <w:widowControl w:val="1"/>
      </w:pPr>
      <w:r/>
    </w:p>
    <w:p>
      <w:pPr>
        <w:pStyle w:val="Heading1"/>
        <w:pageBreakBefore w:val="0"/>
        <w:widowControl w:val="1"/>
      </w:pPr>
      <w:r>
        <w:t>Overall findings and risk assessment</w:t>
      </w:r>
    </w:p>
    <w:p>
      <w:pPr>
        <w:pStyle w:val="Heading2"/>
      </w:pPr>
      <w:r>
        <w:t>How to read the potential risk ratings</w:t>
      </w:r>
    </w:p>
    <w:p>
      <w:pPr/>
      <w:r>
        <w:t>The ratings show how serious each concern could be based on the public information reviewed as at 27 July 2026. They do not predict whether an issue will occur, decide a legal question or take account of controls that may exist inside an organisation. Each explanation states what could happen and why the evidence does or does not justify a stronger rating.</w:t>
      </w:r>
    </w:p>
    <w:p>
      <w:pPr>
        <w:pStyle w:val="EvidenceNote"/>
      </w:pPr>
      <w:r/>
      <w:r>
        <w:rPr>
          <w:b/>
        </w:rPr>
        <w:t xml:space="preserve">Critical  </w:t>
      </w:r>
      <w:r>
        <w:t>A current issue that may directly prevent or seriously restrict a transaction, asset or business relationship.</w:t>
      </w:r>
    </w:p>
    <w:p>
      <w:pPr>
        <w:pStyle w:val="EvidenceNote"/>
      </w:pPr>
      <w:r/>
      <w:r>
        <w:rPr>
          <w:b/>
        </w:rPr>
        <w:t xml:space="preserve">High  </w:t>
      </w:r>
      <w:r>
        <w:t>A well-supported concern that could have important legal, financial, operational, governance or reputational consequences.</w:t>
      </w:r>
    </w:p>
    <w:p>
      <w:pPr>
        <w:pStyle w:val="EvidenceNote"/>
      </w:pPr>
      <w:r/>
      <w:r>
        <w:rPr>
          <w:b/>
        </w:rPr>
        <w:t xml:space="preserve">Medium  </w:t>
      </w:r>
      <w:r>
        <w:t>A relevant concern, but the connection, evidence or possible consequence is limited or qualified.</w:t>
      </w:r>
    </w:p>
    <w:p>
      <w:pPr>
        <w:pStyle w:val="EvidenceNote"/>
      </w:pPr>
      <w:r/>
      <w:r>
        <w:rPr>
          <w:b/>
        </w:rPr>
        <w:t xml:space="preserve">Low  </w:t>
      </w:r>
      <w:r>
        <w:t>Background information with no important current consequence identified.</w:t>
      </w:r>
    </w:p>
    <w:tbl>
      <w:tblPr>
        <w:tblW w:type="dxa" w:w="9360"/>
        <w:jc w:val="left"/>
        <w:tblLayout w:type="fixed"/>
        <w:tblLook w:firstColumn="1" w:firstRow="1" w:lastColumn="0" w:lastRow="0" w:noHBand="0" w:noVBand="1" w:val="04A0"/>
        <w:tblInd w:w="120" w:type="dxa"/>
      </w:tblPr>
      <w:tblGrid>
        <w:gridCol w:w="540"/>
        <w:gridCol w:w="1470"/>
        <w:gridCol w:w="820"/>
        <w:gridCol w:w="2200"/>
        <w:gridCol w:w="1820"/>
        <w:gridCol w:w="2510"/>
      </w:tblGrid>
      <w:tr>
        <w:trPr>
          <w:tblHeader w:val="true"/>
          <w:cantSplit/>
        </w:trPr>
        <w:tc>
          <w:tcPr>
            <w:tcW w:type="dxa" w:w="54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3"/>
              </w:rPr>
              <w:t>ID</w:t>
            </w:r>
          </w:p>
        </w:tc>
        <w:tc>
          <w:tcPr>
            <w:tcW w:type="dxa" w:w="147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3"/>
              </w:rPr>
              <w:t>Risk or concern</w:t>
            </w:r>
          </w:p>
        </w:tc>
        <w:tc>
          <w:tcPr>
            <w:tcW w:type="dxa" w:w="82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3"/>
              </w:rPr>
              <w:t>Potential risk rating</w:t>
            </w:r>
          </w:p>
        </w:tc>
        <w:tc>
          <w:tcPr>
            <w:tcW w:type="dxa" w:w="220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3"/>
              </w:rPr>
              <w:t>Evidence signal</w:t>
            </w:r>
          </w:p>
        </w:tc>
        <w:tc>
          <w:tcPr>
            <w:tcW w:type="dxa" w:w="182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3"/>
              </w:rPr>
              <w:t>Assessment significance</w:t>
            </w:r>
          </w:p>
        </w:tc>
        <w:tc>
          <w:tcPr>
            <w:tcW w:type="dxa" w:w="251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3"/>
              </w:rPr>
              <w:t>Rating explained</w:t>
            </w:r>
          </w:p>
        </w:tc>
      </w:tr>
      <w:tr>
        <w:trPr>
          <w:cantSplit/>
        </w:trPr>
        <w:tc>
          <w:tcPr>
            <w:tcW w:type="dxa" w:w="54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R1</w:t>
            </w:r>
          </w:p>
        </w:tc>
        <w:tc>
          <w:tcPr>
            <w:tcW w:type="dxa" w:w="147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Active Ukrainian sanctions / current status</w:t>
            </w:r>
          </w:p>
        </w:tc>
        <w:tc>
          <w:tcPr>
            <w:tcW w:type="dxa" w:w="82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Critical</w:t>
            </w:r>
          </w:p>
        </w:tc>
        <w:tc>
          <w:tcPr>
            <w:tcW w:type="dxa" w:w="22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Ukraine imposed sanctions on Volozh on 19 Oct 2022 for ten years, including asset blocking; the measures remain active. EU sanctions ceased in Mar 2024.</w:t>
            </w:r>
          </w:p>
        </w:tc>
        <w:tc>
          <w:tcPr>
            <w:tcW w:type="dxa" w:w="182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Ukraine currently imposes personal sanctions directly on Volozh. The practical effect depends on the country, parties, assets and transaction involved.</w:t>
            </w:r>
          </w:p>
        </w:tc>
        <w:tc>
          <w:tcPr>
            <w:tcW w:type="dxa" w:w="25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Critical because the measure is current and may block or seriously restrict transactions, assets or relationships involving Ukraine. It may also make banks or business partners elsewhere unwilling to proceed. The exact effect outside Ukraine depends on the facts and applicable law.</w:t>
            </w:r>
          </w:p>
        </w:tc>
      </w:tr>
      <w:tr>
        <w:trPr>
          <w:cantSplit/>
        </w:trPr>
        <w:tc>
          <w:tcPr>
            <w:tcW w:type="dxa" w:w="54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R2</w:t>
            </w:r>
          </w:p>
        </w:tc>
        <w:tc>
          <w:tcPr>
            <w:tcW w:type="dxa" w:w="147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Former EU sanctions</w:t>
            </w:r>
          </w:p>
        </w:tc>
        <w:tc>
          <w:tcPr>
            <w:tcW w:type="dxa" w:w="82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High</w:t>
            </w:r>
          </w:p>
        </w:tc>
        <w:tc>
          <w:tcPr>
            <w:tcW w:type="dxa" w:w="22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The EU imposed an asset freeze and travel restrictions in Jun 2022. The listing was not renewed in Mar 2024, ending those EU restrictions; the historic reasons remain public.</w:t>
            </w:r>
          </w:p>
        </w:tc>
        <w:tc>
          <w:tcPr>
            <w:tcW w:type="dxa" w:w="182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Volozh is no longer sanctioned by the EU. However, the former listing remains relevant because banks, investors and customers may continue to take it into account.</w:t>
            </w:r>
          </w:p>
        </w:tc>
        <w:tc>
          <w:tcPr>
            <w:tcW w:type="dxa" w:w="251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High because some banks, investors, customers or other business partners may delay, limit or decline a new relationship because of the previous EU sanctions. It is not Critical because the EU restrictions ended in March 2024 and no current EU prohibition was identified.</w:t>
            </w:r>
          </w:p>
        </w:tc>
      </w:tr>
      <w:tr>
        <w:trPr>
          <w:cantSplit/>
        </w:trPr>
        <w:tc>
          <w:tcPr>
            <w:tcW w:type="dxa" w:w="54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R3</w:t>
            </w:r>
          </w:p>
        </w:tc>
        <w:tc>
          <w:tcPr>
            <w:tcW w:type="dxa" w:w="147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Founder and trust voting control</w:t>
            </w:r>
          </w:p>
        </w:tc>
        <w:tc>
          <w:tcPr>
            <w:tcW w:type="dxa" w:w="82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High</w:t>
            </w:r>
          </w:p>
        </w:tc>
        <w:tc>
          <w:tcPr>
            <w:tcW w:type="dxa" w:w="22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At FY2025, Class B shares carried about 52% of ordinary-share voting power for about 11% of the financial interest; the company reports controlled-company status.</w:t>
            </w:r>
          </w:p>
        </w:tc>
        <w:tc>
          <w:tcPr>
            <w:tcW w:type="dxa" w:w="182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 founder has much greater voting influence than his financial stake would suggest, which reduces the influence of other shareholders.</w:t>
            </w:r>
          </w:p>
        </w:tc>
        <w:tc>
          <w:tcPr>
            <w:tcW w:type="dxa" w:w="25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High because this voting structure can strongly affect board appointments, strategy and outcomes for minority shareholders. It is not Critical because the structure is publicly disclosed and no misuse of that control was identified.</w:t>
            </w:r>
          </w:p>
        </w:tc>
      </w:tr>
      <w:tr>
        <w:trPr>
          <w:cantSplit/>
        </w:trPr>
        <w:tc>
          <w:tcPr>
            <w:tcW w:type="dxa" w:w="54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R4</w:t>
            </w:r>
          </w:p>
        </w:tc>
        <w:tc>
          <w:tcPr>
            <w:tcW w:type="dxa" w:w="147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Sale of the Russian businesses</w:t>
            </w:r>
          </w:p>
        </w:tc>
        <w:tc>
          <w:tcPr>
            <w:tcW w:type="dxa" w:w="82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High</w:t>
            </w:r>
          </w:p>
        </w:tc>
        <w:tc>
          <w:tcPr>
            <w:tcW w:type="dxa" w:w="22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The RUB 475bn divestment used a mixed cash-and-share structure under sanctions pressure and a mandatory valuation discount.</w:t>
            </w:r>
          </w:p>
        </w:tc>
        <w:tc>
          <w:tcPr>
            <w:tcW w:type="dxa" w:w="182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This was the main transaction from which the funds arose. Its size, mixed payment structure and sanctions background make the proceeds harder to trace and value from public information.</w:t>
            </w:r>
          </w:p>
        </w:tc>
        <w:tc>
          <w:tcPr>
            <w:tcW w:type="dxa" w:w="251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High because the transaction’s size and geopolitical setting may make it difficult to explain the full flow and value of the proceeds. It is not Critical because public transaction documents support the separation and headline price, and no finding of criminal proceeds was identified.</w:t>
            </w:r>
          </w:p>
        </w:tc>
      </w:tr>
      <w:tr>
        <w:trPr>
          <w:cantSplit/>
        </w:trPr>
        <w:tc>
          <w:tcPr>
            <w:tcW w:type="dxa" w:w="54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R5</w:t>
            </w:r>
          </w:p>
        </w:tc>
        <w:tc>
          <w:tcPr>
            <w:tcW w:type="dxa" w:w="147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Sanctions affecting owners of Russian Yandex after the sale</w:t>
            </w:r>
          </w:p>
        </w:tc>
        <w:tc>
          <w:tcPr>
            <w:tcW w:type="dxa" w:w="82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Medium</w:t>
            </w:r>
          </w:p>
        </w:tc>
        <w:tc>
          <w:tcPr>
            <w:tcW w:type="dxa" w:w="22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A Lukoil-linked vehicle participated in the purchaser consortium; Lukoil was later sanctioned and subsequent ownership developments were reported.</w:t>
            </w:r>
          </w:p>
        </w:tc>
        <w:tc>
          <w:tcPr>
            <w:tcW w:type="dxa" w:w="182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This creates sanctions concerns for Russian Yandex, but those concerns are not automatically transferred to Nebius or Volozh after the documented 2024 separation.</w:t>
            </w:r>
          </w:p>
        </w:tc>
        <w:tc>
          <w:tcPr>
            <w:tcW w:type="dxa" w:w="25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Medium because later ownership changes at Russian Yandex may continue to raise questions about the former group. However, the review found no clear continuing connection to Nebius through ownership, control, payments, services, data or intellectual property.</w:t>
            </w:r>
          </w:p>
        </w:tc>
      </w:tr>
      <w:tr>
        <w:trPr>
          <w:cantSplit/>
        </w:trPr>
        <w:tc>
          <w:tcPr>
            <w:tcW w:type="dxa" w:w="54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R6</w:t>
            </w:r>
          </w:p>
        </w:tc>
        <w:tc>
          <w:tcPr>
            <w:tcW w:type="dxa" w:w="147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Toloka’s historical customer and use concerns</w:t>
            </w:r>
          </w:p>
        </w:tc>
        <w:tc>
          <w:tcPr>
            <w:tcW w:type="dxa" w:w="82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High</w:t>
            </w:r>
          </w:p>
        </w:tc>
        <w:tc>
          <w:tcPr>
            <w:tcW w:type="dxa" w:w="22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Investigative reporting alleged that Toloka-hosted tasks supported facial-recognition vendors later sanctioned by the EU. Toloka disputed an EU-entity breach; no final enforcement finding was identified.</w:t>
            </w:r>
          </w:p>
        </w:tc>
        <w:tc>
          <w:tcPr>
            <w:tcW w:type="dxa" w:w="182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Toloka remains relevant because Nebius reports a significant financial interest and board links, even though Nebius no longer holds majority voting control.</w:t>
            </w:r>
          </w:p>
        </w:tc>
        <w:tc>
          <w:tcPr>
            <w:tcW w:type="dxa" w:w="251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High because the allegations concern surveillance, human rights and customers later sanctioned by the EU, and may affect customer or investor confidence. It is not Critical because no sanctions breach was established and current Toloka conduct is not automatically attributable to Nebius.</w:t>
            </w:r>
          </w:p>
        </w:tc>
      </w:tr>
      <w:tr>
        <w:trPr>
          <w:cantSplit/>
        </w:trPr>
        <w:tc>
          <w:tcPr>
            <w:tcW w:type="dxa" w:w="54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R7</w:t>
            </w:r>
          </w:p>
        </w:tc>
        <w:tc>
          <w:tcPr>
            <w:tcW w:type="dxa" w:w="147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Biometric and personal data</w:t>
            </w:r>
          </w:p>
        </w:tc>
        <w:tc>
          <w:tcPr>
            <w:tcW w:type="dxa" w:w="82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High</w:t>
            </w:r>
          </w:p>
        </w:tc>
        <w:tc>
          <w:tcPr>
            <w:tcW w:type="dxa" w:w="22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Toloka’s historical and current service profile includes facial images, annotation and other sensitive training data used for AI systems.</w:t>
            </w:r>
          </w:p>
        </w:tc>
        <w:tc>
          <w:tcPr>
            <w:tcW w:type="dxa" w:w="182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Facial images and other biometric information create important privacy, consent and human-rights concerns.</w:t>
            </w:r>
          </w:p>
        </w:tc>
        <w:tc>
          <w:tcPr>
            <w:tcW w:type="dxa" w:w="25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High because misuse or poor control of biometric data could lead to serious regulatory and human-rights consequences. It is not Critical because no current major breach or enforcement finding was identified.</w:t>
            </w:r>
          </w:p>
        </w:tc>
      </w:tr>
      <w:tr>
        <w:trPr>
          <w:cantSplit/>
        </w:trPr>
        <w:tc>
          <w:tcPr>
            <w:tcW w:type="dxa" w:w="54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R8</w:t>
            </w:r>
          </w:p>
        </w:tc>
        <w:tc>
          <w:tcPr>
            <w:tcW w:type="dxa" w:w="147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Global crowd workforce</w:t>
            </w:r>
          </w:p>
        </w:tc>
        <w:tc>
          <w:tcPr>
            <w:tcW w:type="dxa" w:w="82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Medium</w:t>
            </w:r>
          </w:p>
        </w:tc>
        <w:tc>
          <w:tcPr>
            <w:tcW w:type="dxa" w:w="22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A globally distributed contributor model creates recurring questions about worker status, pay, welfare and transparency.</w:t>
            </w:r>
          </w:p>
        </w:tc>
        <w:tc>
          <w:tcPr>
            <w:tcW w:type="dxa" w:w="182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 global contributor model may create concerns about worker status, pay, welfare and transparency in several countries.</w:t>
            </w:r>
          </w:p>
        </w:tc>
        <w:tc>
          <w:tcPr>
            <w:tcW w:type="dxa" w:w="251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Medium because the concern is built into the business model and covers many locations, but the review found no specific current enforcement action or evidence of serious harm across the workforce.</w:t>
            </w:r>
          </w:p>
        </w:tc>
      </w:tr>
      <w:tr>
        <w:trPr>
          <w:cantSplit/>
        </w:trPr>
        <w:tc>
          <w:tcPr>
            <w:tcW w:type="dxa" w:w="54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R9</w:t>
            </w:r>
          </w:p>
        </w:tc>
        <w:tc>
          <w:tcPr>
            <w:tcW w:type="dxa" w:w="147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Export controls for AI and cloud services</w:t>
            </w:r>
          </w:p>
        </w:tc>
        <w:tc>
          <w:tcPr>
            <w:tcW w:type="dxa" w:w="82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High</w:t>
            </w:r>
          </w:p>
        </w:tc>
        <w:tc>
          <w:tcPr>
            <w:tcW w:type="dxa" w:w="220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Nebius provides advanced computing capacity, including specialised chips used for AI, to customers in several countries.</w:t>
            </w:r>
          </w:p>
        </w:tc>
        <w:tc>
          <w:tcPr>
            <w:tcW w:type="dxa" w:w="182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Providing advanced computing services across borders creates risks concerning export controls, sanctions and prohibited customers or uses.</w:t>
            </w:r>
          </w:p>
        </w:tc>
        <w:tc>
          <w:tcPr>
            <w:tcW w:type="dxa" w:w="25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High because supplying a prohibited country, customer or use could have serious regulatory and commercial consequences. It is not Critical because no current export-control breach was identified.</w:t>
            </w:r>
          </w:p>
        </w:tc>
      </w:tr>
      <w:tr>
        <w:trPr>
          <w:cantSplit/>
        </w:trPr>
        <w:tc>
          <w:tcPr>
            <w:tcW w:type="dxa" w:w="54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R10</w:t>
            </w:r>
          </w:p>
        </w:tc>
        <w:tc>
          <w:tcPr>
            <w:tcW w:type="dxa" w:w="147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Misuse of AI services / prohibited users</w:t>
            </w:r>
          </w:p>
        </w:tc>
        <w:tc>
          <w:tcPr>
            <w:tcW w:type="dxa" w:w="82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High</w:t>
            </w:r>
          </w:p>
        </w:tc>
        <w:tc>
          <w:tcPr>
            <w:tcW w:type="dxa" w:w="22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Nebius and Toloka provide compute, model evaluation and data services that can support powerful AI systems and sensitive applications.</w:t>
            </w:r>
          </w:p>
        </w:tc>
        <w:tc>
          <w:tcPr>
            <w:tcW w:type="dxa" w:w="182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 services could be used to support harmful AI systems, surveillance or prohibited activities, even if the provider did not intend that result.</w:t>
            </w:r>
          </w:p>
        </w:tc>
        <w:tc>
          <w:tcPr>
            <w:tcW w:type="dxa" w:w="251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High because the capability and scale create a credible risk of misuse. It is not Critical because the review found no established case of Nebius knowingly supporting a prohibited customer or use.</w:t>
            </w:r>
          </w:p>
        </w:tc>
      </w:tr>
      <w:tr>
        <w:trPr>
          <w:cantSplit/>
        </w:trPr>
        <w:tc>
          <w:tcPr>
            <w:tcW w:type="dxa" w:w="54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R11</w:t>
            </w:r>
          </w:p>
        </w:tc>
        <w:tc>
          <w:tcPr>
            <w:tcW w:type="dxa" w:w="147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Dependence on Volozh</w:t>
            </w:r>
          </w:p>
        </w:tc>
        <w:tc>
          <w:tcPr>
            <w:tcW w:type="dxa" w:w="82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High</w:t>
            </w:r>
          </w:p>
        </w:tc>
        <w:tc>
          <w:tcPr>
            <w:tcW w:type="dxa" w:w="22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Volozh is Nebius’s founder, CEO and executive director and is central to its strategy, governance identity and external relationships.</w:t>
            </w:r>
          </w:p>
        </w:tc>
        <w:tc>
          <w:tcPr>
            <w:tcW w:type="dxa" w:w="182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Nebius’s strategy, leadership continuity and market confidence depend heavily on Volozh.</w:t>
            </w:r>
          </w:p>
        </w:tc>
        <w:tc>
          <w:tcPr>
            <w:tcW w:type="dxa" w:w="25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High because an unexpected departure, loss of capacity or deterioration in standing could affect strategy, financing, customers and succession. It is not Critical because no evidence of imminent departure or inability to perform the role was identified.</w:t>
            </w:r>
          </w:p>
        </w:tc>
      </w:tr>
      <w:tr>
        <w:trPr>
          <w:cantSplit/>
        </w:trPr>
        <w:tc>
          <w:tcPr>
            <w:tcW w:type="dxa" w:w="54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R12</w:t>
            </w:r>
          </w:p>
        </w:tc>
        <w:tc>
          <w:tcPr>
            <w:tcW w:type="dxa" w:w="147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Rapid spending and financing</w:t>
            </w:r>
          </w:p>
        </w:tc>
        <w:tc>
          <w:tcPr>
            <w:tcW w:type="dxa" w:w="82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High</w:t>
            </w:r>
          </w:p>
        </w:tc>
        <w:tc>
          <w:tcPr>
            <w:tcW w:type="dxa" w:w="220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Nebius spent approximately $2.5bn on long-term assets in Q1 2026 while taking on major customer commitments, NVIDIA financing, acquisitions and construction at several sites.</w:t>
            </w:r>
          </w:p>
        </w:tc>
        <w:tc>
          <w:tcPr>
            <w:tcW w:type="dxa" w:w="182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Rapid expansion increases pressure on funding, delivery, integration and dependence on a small number of large customers.</w:t>
            </w:r>
          </w:p>
        </w:tc>
        <w:tc>
          <w:tcPr>
            <w:tcW w:type="dxa" w:w="251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High because delays, funding pressure or failed integration could significantly affect Nebius’s growth plans and financial position. It is not Critical because the investments are disclosed and supported by major customer and investor commitments.</w:t>
            </w:r>
          </w:p>
        </w:tc>
      </w:tr>
      <w:tr>
        <w:trPr>
          <w:cantSplit/>
        </w:trPr>
        <w:tc>
          <w:tcPr>
            <w:tcW w:type="dxa" w:w="54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R13</w:t>
            </w:r>
          </w:p>
        </w:tc>
        <w:tc>
          <w:tcPr>
            <w:tcW w:type="dxa" w:w="147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Gaps in the public account of events</w:t>
            </w:r>
          </w:p>
        </w:tc>
        <w:tc>
          <w:tcPr>
            <w:tcW w:type="dxa" w:w="82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Medium</w:t>
            </w:r>
          </w:p>
        </w:tc>
        <w:tc>
          <w:tcPr>
            <w:tcW w:type="dxa" w:w="22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The public chronology includes a delayed anti-war statement and inaccurate citizenship timing in an underlying secondary profile.</w:t>
            </w:r>
          </w:p>
        </w:tc>
        <w:tc>
          <w:tcPr>
            <w:tcW w:type="dxa" w:w="182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Differences in the public timeline may cause banks, investors or other stakeholders to question the reliability of Volozh’s account of his Russia-related history.</w:t>
            </w:r>
          </w:p>
        </w:tc>
        <w:tc>
          <w:tcPr>
            <w:tcW w:type="dxa" w:w="25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Medium because those inconsistencies may affect credibility and engagement decisions. However, they do not prove misconduct, and the main dates can be clarified using stronger sources.</w:t>
            </w:r>
          </w:p>
        </w:tc>
      </w:tr>
      <w:tr>
        <w:trPr>
          <w:cantSplit/>
        </w:trPr>
        <w:tc>
          <w:tcPr>
            <w:tcW w:type="dxa" w:w="54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R14</w:t>
            </w:r>
          </w:p>
        </w:tc>
        <w:tc>
          <w:tcPr>
            <w:tcW w:type="dxa" w:w="147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Cybersecurity / important infrastructure</w:t>
            </w:r>
          </w:p>
        </w:tc>
        <w:tc>
          <w:tcPr>
            <w:tcW w:type="dxa" w:w="82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High</w:t>
            </w:r>
          </w:p>
        </w:tc>
        <w:tc>
          <w:tcPr>
            <w:tcW w:type="dxa" w:w="220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Nebius operates several data centres containing valuable specialised computing hardware and important customer AI workloads. These are attractive targets and customers may depend on the services remaining available.</w:t>
            </w:r>
          </w:p>
        </w:tc>
        <w:tc>
          <w:tcPr>
            <w:tcW w:type="dxa" w:w="182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A serious cyberattack or outage could affect customers, sensitive workloads, service continuity and regulatory obligations.</w:t>
            </w:r>
          </w:p>
        </w:tc>
        <w:tc>
          <w:tcPr>
            <w:tcW w:type="dxa" w:w="251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High because Nebius operates valuable computing infrastructure and hosts important customer workloads. A major incident could cause serious operational and reputational harm. No current major cyber incident was identified.</w:t>
            </w:r>
          </w:p>
        </w:tc>
      </w:tr>
      <w:tr>
        <w:trPr>
          <w:cantSplit/>
        </w:trPr>
        <w:tc>
          <w:tcPr>
            <w:tcW w:type="dxa" w:w="54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R15</w:t>
            </w:r>
          </w:p>
        </w:tc>
        <w:tc>
          <w:tcPr>
            <w:tcW w:type="dxa" w:w="147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Relationships with connected companies and structures</w:t>
            </w:r>
          </w:p>
        </w:tc>
        <w:tc>
          <w:tcPr>
            <w:tcW w:type="dxa" w:w="82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Medium</w:t>
            </w:r>
          </w:p>
        </w:tc>
        <w:tc>
          <w:tcPr>
            <w:tcW w:type="dxa" w:w="22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Toloka, ClickHouse, Avride, trust structures and shared directors create continuing portfolio and governance relationships.</w:t>
            </w:r>
          </w:p>
        </w:tc>
        <w:tc>
          <w:tcPr>
            <w:tcW w:type="dxa" w:w="182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 relationships may create conflicts of interest or uncertainty about who controls decisions and which company should be held responsible.</w:t>
            </w:r>
          </w:p>
        </w:tc>
        <w:tc>
          <w:tcPr>
            <w:tcW w:type="dxa" w:w="25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Medium because the links require careful interpretation, but they are publicly disclosed or can be explained by the corporate structure. No improper transaction with a connected party was identified.</w:t>
            </w:r>
          </w:p>
        </w:tc>
      </w:tr>
      <w:tr>
        <w:trPr>
          <w:cantSplit/>
        </w:trPr>
        <w:tc>
          <w:tcPr>
            <w:tcW w:type="dxa" w:w="54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R16</w:t>
            </w:r>
          </w:p>
        </w:tc>
        <w:tc>
          <w:tcPr>
            <w:tcW w:type="dxa" w:w="147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Avride product safety / regulatory review</w:t>
            </w:r>
          </w:p>
        </w:tc>
        <w:tc>
          <w:tcPr>
            <w:tcW w:type="dxa" w:w="82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High</w:t>
            </w:r>
          </w:p>
        </w:tc>
        <w:tc>
          <w:tcPr>
            <w:tcW w:type="dxa" w:w="22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NHTSA Preliminary Evaluation PE26003 covers 16 reported crashes, one alleged minor injury and an estimated affected population of 200 vehicles.</w:t>
            </w:r>
          </w:p>
        </w:tc>
        <w:tc>
          <w:tcPr>
            <w:tcW w:type="dxa" w:w="182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Avride is part of the Nebius group, so the open safety review directly affects Nebius’s product-safety, regulatory, insurance and reputational position.</w:t>
            </w:r>
          </w:p>
        </w:tc>
        <w:tc>
          <w:tcPr>
            <w:tcW w:type="dxa" w:w="25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High because a confirmed safety defect could lead to enforcement, liability and operational disruption. It is not Critical because the review is preliminary and no violation or defect has been finally established.</w:t>
            </w:r>
          </w:p>
        </w:tc>
      </w:tr>
      <w:tr>
        <w:trPr>
          <w:cantSplit/>
        </w:trPr>
        <w:tc>
          <w:tcPr>
            <w:tcW w:type="dxa" w:w="54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R17</w:t>
            </w:r>
          </w:p>
        </w:tc>
        <w:tc>
          <w:tcPr>
            <w:tcW w:type="dxa" w:w="147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Data-centre permission and community court case</w:t>
            </w:r>
          </w:p>
        </w:tc>
        <w:tc>
          <w:tcPr>
            <w:tcW w:type="dxa" w:w="82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High</w:t>
            </w:r>
          </w:p>
        </w:tc>
        <w:tc>
          <w:tcPr>
            <w:tcW w:type="dxa" w:w="220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 Birmingham complaint names Nebius, asks the court to stop the relevant activity and award damages, and has progressed to a hearing about a possible temporary order.</w:t>
            </w:r>
          </w:p>
        </w:tc>
        <w:tc>
          <w:tcPr>
            <w:tcW w:type="dxa" w:w="182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 court case creates direct risks of delay, higher cost, community opposition and reputational harm for a planned Nebius facility.</w:t>
            </w:r>
          </w:p>
        </w:tc>
        <w:tc>
          <w:tcPr>
            <w:tcW w:type="dxa" w:w="25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High because an injunction or adverse outcome could delay capacity and increase costs. It is not Critical because the court has not decided the underlying claims and no final order stopping the project was identified.</w:t>
            </w:r>
          </w:p>
        </w:tc>
      </w:tr>
      <w:tr>
        <w:trPr>
          <w:cantSplit/>
        </w:trPr>
        <w:tc>
          <w:tcPr>
            <w:tcW w:type="dxa" w:w="54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R18</w:t>
            </w:r>
          </w:p>
        </w:tc>
        <w:tc>
          <w:tcPr>
            <w:tcW w:type="dxa" w:w="147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Share sales by senior leaders</w:t>
            </w:r>
          </w:p>
        </w:tc>
        <w:tc>
          <w:tcPr>
            <w:tcW w:type="dxa" w:w="82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Medium</w:t>
            </w:r>
          </w:p>
        </w:tc>
        <w:tc>
          <w:tcPr>
            <w:tcW w:type="dxa" w:w="22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3"/>
              </w:rPr>
              <w:t>Multiple senior insiders disposed of shares in 2026. Important Volozh and Shtan transactions were automatic tax-withholding sales; identified Bunina and Boroditsky sales were under pre-arranged plans.</w:t>
            </w:r>
          </w:p>
        </w:tc>
        <w:tc>
          <w:tcPr>
            <w:tcW w:type="dxa" w:w="182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Repeated and visible share sales may affect how investors view management’s commitment and confidence in the company.</w:t>
            </w:r>
          </w:p>
        </w:tc>
        <w:tc>
          <w:tcPr>
            <w:tcW w:type="dxa" w:w="25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Medium because the pattern may concern investors. However, the filings show that important sales were automatic for tax purposes or made under pre-arranged plans. This weakens any conclusion that leaders were selling because they expected Nebius to perform poorly. No insider misconduct or imminent departure was identified.</w:t>
            </w:r>
          </w:p>
        </w:tc>
      </w:tr>
    </w:tbl>
    <w:p>
      <w:pPr>
        <w:spacing w:after="0"/>
        <w:widowControl w:val="1"/>
      </w:pPr>
    </w:p>
    <w:p>
      <w:pPr>
        <w:widowControl w:val="1"/>
      </w:pPr>
      <w:r/>
    </w:p>
    <w:p>
      <w:pPr>
        <w:pStyle w:val="Heading1"/>
        <w:pageBreakBefore w:val="0"/>
        <w:widowControl w:val="1"/>
      </w:pPr>
      <w:r>
        <w:t>Information that could not be fully confirmed</w:t>
      </w:r>
    </w:p>
    <w:tbl>
      <w:tblPr>
        <w:tblW w:type="dxa" w:w="9360"/>
        <w:jc w:val="left"/>
        <w:tblLayout w:type="fixed"/>
        <w:tblLook w:firstColumn="1" w:firstRow="1" w:lastColumn="0" w:lastRow="0" w:noHBand="0" w:noVBand="1" w:val="04A0"/>
        <w:tblInd w:w="120" w:type="dxa"/>
      </w:tblPr>
      <w:tblGrid>
        <w:gridCol w:w="650"/>
        <w:gridCol w:w="4900"/>
        <w:gridCol w:w="3810"/>
      </w:tblGrid>
      <w:tr>
        <w:trPr>
          <w:tblHeader w:val="true"/>
          <w:cantSplit/>
        </w:trPr>
        <w:tc>
          <w:tcPr>
            <w:tcW w:type="dxa" w:w="65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6"/>
              </w:rPr>
              <w:t>Ref</w:t>
            </w:r>
          </w:p>
        </w:tc>
        <w:tc>
          <w:tcPr>
            <w:tcW w:type="dxa" w:w="490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6"/>
              </w:rPr>
              <w:t>Unresolved evidence position</w:t>
            </w:r>
          </w:p>
        </w:tc>
        <w:tc>
          <w:tcPr>
            <w:tcW w:type="dxa" w:w="3810"/>
            <w:shd w:fill="123B34"/>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after="0"/>
            </w:pPr>
            <w:r>
              <w:rPr>
                <w:rFonts w:ascii="Aptos" w:hAnsi="Aptos"/>
                <w:b/>
                <w:i w:val="0"/>
                <w:color w:val="FFFFFF"/>
                <w:sz w:val="16"/>
              </w:rPr>
              <w:t>Effect on assessment</w:t>
            </w:r>
          </w:p>
        </w:tc>
      </w:tr>
      <w:tr>
        <w:trPr>
          <w:cantSplit/>
        </w:trPr>
        <w:tc>
          <w:tcPr>
            <w:tcW w:type="dxa" w:w="6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G1</w:t>
            </w:r>
          </w:p>
        </w:tc>
        <w:tc>
          <w:tcPr>
            <w:tcW w:type="dxa" w:w="49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Sanctions status outside reviewed jurisdictions — The EU, UK, US and Ukrainian positions were assessed, but the position was not established across every other jurisdiction.</w:t>
            </w:r>
          </w:p>
        </w:tc>
        <w:tc>
          <w:tcPr>
            <w:tcW w:type="dxa" w:w="381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The report cannot conclude that Volozh is free of sanctions worldwide.</w:t>
            </w:r>
          </w:p>
        </w:tc>
      </w:tr>
      <w:tr>
        <w:trPr>
          <w:cantSplit/>
        </w:trPr>
        <w:tc>
          <w:tcPr>
            <w:tcW w:type="dxa" w:w="6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G2</w:t>
            </w:r>
          </w:p>
        </w:tc>
        <w:tc>
          <w:tcPr>
            <w:tcW w:type="dxa" w:w="49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Russian citizenship termination — The timing rests on reporting; the primary termination record was not reviewed.</w:t>
            </w:r>
          </w:p>
        </w:tc>
        <w:tc>
          <w:tcPr>
            <w:tcW w:type="dxa" w:w="381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Confidence is high on reported timing but not documentary finality.</w:t>
            </w:r>
          </w:p>
        </w:tc>
      </w:tr>
      <w:tr>
        <w:trPr>
          <w:cantSplit/>
        </w:trPr>
        <w:tc>
          <w:tcPr>
            <w:tcW w:type="dxa" w:w="6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G3</w:t>
            </w:r>
          </w:p>
        </w:tc>
        <w:tc>
          <w:tcPr>
            <w:tcW w:type="dxa" w:w="490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Reported British nationality — No passport, citizenship certificate or equivalent primary record was identified.</w:t>
            </w:r>
          </w:p>
        </w:tc>
        <w:tc>
          <w:tcPr>
            <w:tcW w:type="dxa" w:w="381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British nationality is not treated as established.</w:t>
            </w:r>
          </w:p>
        </w:tc>
      </w:tr>
      <w:tr>
        <w:trPr>
          <w:cantSplit/>
        </w:trPr>
        <w:tc>
          <w:tcPr>
            <w:tcW w:type="dxa" w:w="6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G4</w:t>
            </w:r>
          </w:p>
        </w:tc>
        <w:tc>
          <w:tcPr>
            <w:tcW w:type="dxa" w:w="49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LASTAR trust voting mandate — Public filings describe the structure but not all current mandates or side arrangements.</w:t>
            </w:r>
          </w:p>
        </w:tc>
        <w:tc>
          <w:tcPr>
            <w:tcW w:type="dxa" w:w="381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The precise degree of founder influence remains unresolved.</w:t>
            </w:r>
          </w:p>
        </w:tc>
      </w:tr>
      <w:tr>
        <w:trPr>
          <w:cantSplit/>
        </w:trPr>
        <w:tc>
          <w:tcPr>
            <w:tcW w:type="dxa" w:w="6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G5</w:t>
            </w:r>
          </w:p>
        </w:tc>
        <w:tc>
          <w:tcPr>
            <w:tcW w:type="dxa" w:w="490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Toloka ownership and voting — Nebius kept an important financial interest after it stopped treating Toloka as a subsidiary, but the complete current agreement was not public.</w:t>
            </w:r>
          </w:p>
        </w:tc>
        <w:tc>
          <w:tcPr>
            <w:tcW w:type="dxa" w:w="38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 current financial interest and voting percentages cannot be stated with full precision.</w:t>
            </w:r>
          </w:p>
        </w:tc>
      </w:tr>
      <w:tr>
        <w:trPr>
          <w:cantSplit/>
        </w:trPr>
        <w:tc>
          <w:tcPr>
            <w:tcW w:type="dxa" w:w="6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G6</w:t>
            </w:r>
          </w:p>
        </w:tc>
        <w:tc>
          <w:tcPr>
            <w:tcW w:type="dxa" w:w="49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Toloka regulatory outcome — No final enforcement finding relating to the facial-recognition and sanctions allegations was identified.</w:t>
            </w:r>
          </w:p>
        </w:tc>
        <w:tc>
          <w:tcPr>
            <w:tcW w:type="dxa" w:w="381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The allegations remain unproven but reputationally material.</w:t>
            </w:r>
          </w:p>
        </w:tc>
      </w:tr>
      <w:tr>
        <w:trPr>
          <w:cantSplit/>
        </w:trPr>
        <w:tc>
          <w:tcPr>
            <w:tcW w:type="dxa" w:w="6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G7</w:t>
            </w:r>
          </w:p>
        </w:tc>
        <w:tc>
          <w:tcPr>
            <w:tcW w:type="dxa" w:w="490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Yandex ownership after sale restrictions ended — Reporting indicates later developments linked to Lukoil and Vladimir Potanin, but the complete current shareholder register was unavailable.</w:t>
            </w:r>
          </w:p>
        </w:tc>
        <w:tc>
          <w:tcPr>
            <w:tcW w:type="dxa" w:w="38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 current control of Russian Yandex remains a separate unanswered question.</w:t>
            </w:r>
          </w:p>
        </w:tc>
      </w:tr>
      <w:tr>
        <w:trPr>
          <w:cantSplit/>
        </w:trPr>
        <w:tc>
          <w:tcPr>
            <w:tcW w:type="dxa" w:w="6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G8</w:t>
            </w:r>
          </w:p>
        </w:tc>
        <w:tc>
          <w:tcPr>
            <w:tcW w:type="dxa" w:w="490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Current location of sale proceeds — Public transaction documents establish the headline price but not the complete current location and form of the assets.</w:t>
            </w:r>
          </w:p>
        </w:tc>
        <w:tc>
          <w:tcPr>
            <w:tcW w:type="dxa" w:w="3810"/>
            <w:shd w:fill="F4F8F7"/>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The full movement of the sale proceeds cannot be traced using public sources alone.</w:t>
            </w:r>
          </w:p>
        </w:tc>
      </w:tr>
      <w:tr>
        <w:trPr>
          <w:cantSplit/>
        </w:trPr>
        <w:tc>
          <w:tcPr>
            <w:tcW w:type="dxa" w:w="650"/>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G9</w:t>
            </w:r>
          </w:p>
        </w:tc>
        <w:tc>
          <w:tcPr>
            <w:tcW w:type="dxa" w:w="490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Remaining Yandex–Nebius dependencies — The legal separation is documented, but complete information about temporary services, data, intellectual property and staff arrangements was not public.</w:t>
            </w:r>
          </w:p>
        </w:tc>
        <w:tc>
          <w:tcPr>
            <w:tcW w:type="dxa" w:w="3810"/>
            <w:tcMar>
              <w:top w:w="80" w:type="dxa"/>
              <w:start w:w="120" w:type="dxa"/>
              <w:bottom w:w="80" w:type="dxa"/>
              <w:end w:w="120" w:type="dxa"/>
            </w:tcMar>
            <w:vAlign w:val="center"/>
            <w:tcBorders>
              <w:top w:val="single" w:sz="4" w:color="C8D0CD"/>
              <w:start w:val="single" w:sz="4" w:color="C8D0CD"/>
              <w:bottom w:val="single" w:sz="4" w:color="C8D0CD"/>
              <w:end w:val="single" w:sz="4" w:color="C8D0CD"/>
            </w:tcBorders>
          </w:tcPr>
          <w:p>
            <w:pPr>
              <w:spacing w:before="0" w:after="0" w:line="252" w:lineRule="auto"/>
            </w:pPr>
            <w:r/>
            <w:r>
              <w:rPr>
                <w:rFonts w:ascii="Aptos" w:hAnsi="Aptos"/>
                <w:sz w:val="19"/>
              </w:rPr>
              <w:t>Some uncertainty remains about whether any limited continuing connection exists.</w:t>
            </w:r>
          </w:p>
        </w:tc>
      </w:tr>
      <w:tr>
        <w:trPr>
          <w:cantSplit/>
        </w:trPr>
        <w:tc>
          <w:tcPr>
            <w:tcW w:type="dxa" w:w="65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G10</w:t>
            </w:r>
          </w:p>
        </w:tc>
        <w:tc>
          <w:tcPr>
            <w:tcW w:type="dxa" w:w="490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Toloka certifications and ethical-use controls — Toloka states relevant certifications and controls; independent reports and exceptions were not reviewed.</w:t>
            </w:r>
          </w:p>
        </w:tc>
        <w:tc>
          <w:tcPr>
            <w:tcW w:type="dxa" w:w="3810"/>
            <w:shd w:fill="F4F8F7"/>
            <w:tcMar>
              <w:top w:w="80" w:type="dxa"/>
              <w:start w:w="120" w:type="dxa"/>
              <w:bottom w:w="80" w:type="dxa"/>
              <w:end w:w="120" w:type="dxa"/>
            </w:tcMar>
            <w:vAlign w:val="top"/>
            <w:tcBorders>
              <w:top w:val="single" w:sz="4" w:color="C8D0CD"/>
              <w:start w:val="single" w:sz="4" w:color="C8D0CD"/>
              <w:bottom w:val="single" w:sz="4" w:color="C8D0CD"/>
              <w:end w:val="single" w:sz="4" w:color="C8D0CD"/>
            </w:tcBorders>
          </w:tcPr>
          <w:p>
            <w:pPr>
              <w:spacing w:after="0"/>
            </w:pPr>
            <w:r>
              <w:rPr>
                <w:rFonts w:ascii="Aptos" w:hAnsi="Aptos"/>
                <w:b w:val="0"/>
                <w:i w:val="0"/>
                <w:color w:val="17221F"/>
                <w:sz w:val="16"/>
              </w:rPr>
              <w:t>Control effectiveness was not independently established.</w:t>
            </w:r>
          </w:p>
        </w:tc>
      </w:tr>
    </w:tbl>
    <w:p>
      <w:pPr>
        <w:spacing w:after="0"/>
        <w:widowControl w:val="1"/>
      </w:pPr>
    </w:p>
    <w:p>
      <w:pPr>
        <w:widowControl w:val="1"/>
      </w:pPr>
      <w:r/>
    </w:p>
    <w:p>
      <w:pPr>
        <w:pStyle w:val="Heading1"/>
        <w:pageBreakBefore w:val="0"/>
        <w:widowControl w:val="1"/>
      </w:pPr>
      <w:r>
        <w:t>Sources reviewed</w:t>
      </w:r>
    </w:p>
    <w:p>
      <w:pPr>
        <w:spacing w:after="80"/>
        <w:widowControl w:val="1"/>
      </w:pPr>
      <w:r>
        <w:rPr>
          <w:rFonts w:ascii="Aptos" w:hAnsi="Aptos"/>
          <w:b/>
          <w:i w:val="0"/>
          <w:color w:val="123B34"/>
          <w:sz w:val="16"/>
        </w:rPr>
        <w:t>[S01] Underlying open-source profile — Arkady Volozh: A Compliance Risk Profile from Yandex Founder to Nebius CEO (Undated). Secondary compilation.</w:t>
      </w:r>
    </w:p>
    <w:p>
      <w:pPr>
        <w:spacing w:after="80"/>
        <w:widowControl w:val="1"/>
      </w:pPr>
      <w:r>
        <w:rPr>
          <w:rFonts w:ascii="Aptos" w:hAnsi="Aptos"/>
          <w:b/>
          <w:i w:val="0"/>
          <w:color w:val="123B34"/>
          <w:sz w:val="16"/>
        </w:rPr>
        <w:t xml:space="preserve">[S02] European Union — </w:t>
      </w:r>
      <w:r>
        <w:rPr>
          <w:rFonts w:ascii="Aptos" w:hAnsi="Aptos"/>
          <w:b w:val="0"/>
          <w:i w:val="0"/>
          <w:color w:val="17221F"/>
          <w:sz w:val="16"/>
        </w:rPr>
        <w:t xml:space="preserve">Official Journal L 153/2022 – Council Implementing Regulation (EU) 2022/876 (3 Jun 2022). Primary legal. </w:t>
      </w:r>
      <w:hyperlink r:id="rId11">
        <w:r>
          <w:rPr>
            <w:color w:val="1E6B5C"/>
            <w:sz w:val="16"/>
            <w:u w:val="single"/>
          </w:rPr>
          <w:t>Source link</w:t>
        </w:r>
      </w:hyperlink>
    </w:p>
    <w:p>
      <w:pPr>
        <w:spacing w:after="80"/>
        <w:widowControl w:val="1"/>
      </w:pPr>
      <w:r>
        <w:rPr>
          <w:rFonts w:ascii="Aptos" w:hAnsi="Aptos"/>
          <w:b/>
          <w:i w:val="0"/>
          <w:color w:val="123B34"/>
          <w:sz w:val="16"/>
        </w:rPr>
        <w:t xml:space="preserve">[S03] European Union — </w:t>
      </w:r>
      <w:r>
        <w:rPr>
          <w:rFonts w:ascii="Aptos" w:hAnsi="Aptos"/>
          <w:b w:val="0"/>
          <w:i w:val="0"/>
          <w:color w:val="17221F"/>
          <w:sz w:val="16"/>
        </w:rPr>
        <w:t xml:space="preserve">Official Journal L 2024/849 – March 2024 renewal instrument (Volozh omitted/non-renewed) (13 Mar 2024). Primary legal. </w:t>
      </w:r>
      <w:hyperlink r:id="rId12">
        <w:r>
          <w:rPr>
            <w:color w:val="1E6B5C"/>
            <w:sz w:val="16"/>
            <w:u w:val="single"/>
          </w:rPr>
          <w:t>Source link</w:t>
        </w:r>
      </w:hyperlink>
    </w:p>
    <w:p>
      <w:pPr>
        <w:spacing w:after="80"/>
        <w:widowControl w:val="1"/>
      </w:pPr>
      <w:r>
        <w:rPr>
          <w:rFonts w:ascii="Aptos" w:hAnsi="Aptos"/>
          <w:b/>
          <w:i w:val="0"/>
          <w:color w:val="123B34"/>
          <w:sz w:val="16"/>
        </w:rPr>
        <w:t xml:space="preserve">[S04] Reuters — </w:t>
      </w:r>
      <w:r>
        <w:rPr>
          <w:rFonts w:ascii="Aptos" w:hAnsi="Aptos"/>
          <w:b w:val="0"/>
          <w:i w:val="0"/>
          <w:color w:val="17221F"/>
          <w:sz w:val="16"/>
        </w:rPr>
        <w:t xml:space="preserve">Yandex co-founder Arkady Volozh to be removed from EU sanctions list (21 Feb 2024). Reputable reporting. </w:t>
      </w:r>
      <w:hyperlink r:id="rId13">
        <w:r>
          <w:rPr>
            <w:color w:val="1E6B5C"/>
            <w:sz w:val="16"/>
            <w:u w:val="single"/>
          </w:rPr>
          <w:t>Source link</w:t>
        </w:r>
      </w:hyperlink>
    </w:p>
    <w:p>
      <w:pPr>
        <w:spacing w:after="80"/>
        <w:widowControl w:val="1"/>
      </w:pPr>
      <w:r>
        <w:rPr>
          <w:rFonts w:ascii="Aptos" w:hAnsi="Aptos"/>
          <w:b/>
          <w:i w:val="0"/>
          <w:color w:val="123B34"/>
          <w:sz w:val="16"/>
        </w:rPr>
        <w:t xml:space="preserve">[S05] Reuters — </w:t>
      </w:r>
      <w:r>
        <w:rPr>
          <w:rFonts w:ascii="Aptos" w:hAnsi="Aptos"/>
          <w:b w:val="0"/>
          <w:i w:val="0"/>
          <w:color w:val="17221F"/>
          <w:sz w:val="16"/>
        </w:rPr>
        <w:t xml:space="preserve">Yandex split finalised as Russian assets sold in $5.4bn deal (15 Jul 2024). Reputable reporting. </w:t>
      </w:r>
      <w:hyperlink r:id="rId14">
        <w:r>
          <w:rPr>
            <w:color w:val="1E6B5C"/>
            <w:sz w:val="16"/>
            <w:u w:val="single"/>
          </w:rPr>
          <w:t>Source link</w:t>
        </w:r>
      </w:hyperlink>
    </w:p>
    <w:p>
      <w:pPr>
        <w:spacing w:after="80"/>
        <w:widowControl w:val="1"/>
      </w:pPr>
      <w:r>
        <w:rPr>
          <w:rFonts w:ascii="Aptos" w:hAnsi="Aptos"/>
          <w:b/>
          <w:i w:val="0"/>
          <w:color w:val="123B34"/>
          <w:sz w:val="16"/>
        </w:rPr>
        <w:t xml:space="preserve">[S06] Yandex N.V. — </w:t>
      </w:r>
      <w:r>
        <w:rPr>
          <w:rFonts w:ascii="Aptos" w:hAnsi="Aptos"/>
          <w:b w:val="0"/>
          <w:i w:val="0"/>
          <w:color w:val="17221F"/>
          <w:sz w:val="16"/>
        </w:rPr>
        <w:t xml:space="preserve">Binding agreement to divest Russia-based businesses (5 Feb 2024). Primary corporate. </w:t>
      </w:r>
      <w:hyperlink r:id="rId15">
        <w:r>
          <w:rPr>
            <w:color w:val="1E6B5C"/>
            <w:sz w:val="16"/>
            <w:u w:val="single"/>
          </w:rPr>
          <w:t>Source link</w:t>
        </w:r>
      </w:hyperlink>
    </w:p>
    <w:p>
      <w:pPr>
        <w:spacing w:after="80"/>
        <w:widowControl w:val="1"/>
      </w:pPr>
      <w:r>
        <w:rPr>
          <w:rFonts w:ascii="Aptos" w:hAnsi="Aptos"/>
          <w:b/>
          <w:i w:val="0"/>
          <w:color w:val="123B34"/>
          <w:sz w:val="16"/>
        </w:rPr>
        <w:t xml:space="preserve">[S07] Nebius / SEC — </w:t>
      </w:r>
      <w:r>
        <w:rPr>
          <w:rFonts w:ascii="Aptos" w:hAnsi="Aptos"/>
          <w:b w:val="0"/>
          <w:i w:val="0"/>
          <w:color w:val="17221F"/>
          <w:sz w:val="16"/>
        </w:rPr>
        <w:t xml:space="preserve">Annual Report on Form 20-F for year ended 31 Dec 2025 (30 Apr 2026). Primary regulatory. </w:t>
      </w:r>
      <w:hyperlink r:id="rId16">
        <w:r>
          <w:rPr>
            <w:color w:val="1E6B5C"/>
            <w:sz w:val="16"/>
            <w:u w:val="single"/>
          </w:rPr>
          <w:t>Source link</w:t>
        </w:r>
      </w:hyperlink>
    </w:p>
    <w:p>
      <w:pPr>
        <w:spacing w:after="80"/>
        <w:widowControl w:val="1"/>
      </w:pPr>
      <w:r>
        <w:rPr>
          <w:rFonts w:ascii="Aptos" w:hAnsi="Aptos"/>
          <w:b/>
          <w:i w:val="0"/>
          <w:color w:val="123B34"/>
          <w:sz w:val="16"/>
        </w:rPr>
        <w:t xml:space="preserve">[S08] Nebius / SEC — </w:t>
      </w:r>
      <w:r>
        <w:rPr>
          <w:rFonts w:ascii="Aptos" w:hAnsi="Aptos"/>
          <w:b w:val="0"/>
          <w:i w:val="0"/>
          <w:color w:val="17221F"/>
          <w:sz w:val="16"/>
        </w:rPr>
        <w:t xml:space="preserve">Q1 2026 financial results (13 May 2026). Primary regulatory. </w:t>
      </w:r>
      <w:hyperlink r:id="rId17">
        <w:r>
          <w:rPr>
            <w:color w:val="1E6B5C"/>
            <w:sz w:val="16"/>
            <w:u w:val="single"/>
          </w:rPr>
          <w:t>Source link</w:t>
        </w:r>
      </w:hyperlink>
    </w:p>
    <w:p>
      <w:pPr>
        <w:spacing w:after="80"/>
        <w:widowControl w:val="1"/>
      </w:pPr>
      <w:r>
        <w:rPr>
          <w:rFonts w:ascii="Aptos" w:hAnsi="Aptos"/>
          <w:b/>
          <w:i w:val="0"/>
          <w:color w:val="123B34"/>
          <w:sz w:val="16"/>
        </w:rPr>
        <w:t xml:space="preserve">[S09] Nebius / SEC — </w:t>
      </w:r>
      <w:r>
        <w:rPr>
          <w:rFonts w:ascii="Aptos" w:hAnsi="Aptos"/>
          <w:b w:val="0"/>
          <w:i w:val="0"/>
          <w:color w:val="17221F"/>
          <w:sz w:val="16"/>
        </w:rPr>
        <w:t xml:space="preserve">2024 AGM notice: LASTAR Trust and divestment (18 Jul 2024). Primary regulatory. </w:t>
      </w:r>
      <w:hyperlink r:id="rId18">
        <w:r>
          <w:rPr>
            <w:color w:val="1E6B5C"/>
            <w:sz w:val="16"/>
            <w:u w:val="single"/>
          </w:rPr>
          <w:t>Source link</w:t>
        </w:r>
      </w:hyperlink>
    </w:p>
    <w:p>
      <w:pPr>
        <w:spacing w:after="80"/>
        <w:widowControl w:val="1"/>
      </w:pPr>
      <w:r>
        <w:rPr>
          <w:rFonts w:ascii="Aptos" w:hAnsi="Aptos"/>
          <w:b/>
          <w:i w:val="0"/>
          <w:color w:val="123B34"/>
          <w:sz w:val="16"/>
        </w:rPr>
        <w:t xml:space="preserve">[S10] SEC — </w:t>
      </w:r>
      <w:r>
        <w:rPr>
          <w:rFonts w:ascii="Aptos" w:hAnsi="Aptos"/>
          <w:b w:val="0"/>
          <w:i w:val="0"/>
          <w:color w:val="17221F"/>
          <w:sz w:val="16"/>
        </w:rPr>
        <w:t xml:space="preserve">Form 3: Class A and Class B holdings by trust (18 Mar 2026). Primary regulatory. </w:t>
      </w:r>
      <w:hyperlink r:id="rId19">
        <w:r>
          <w:rPr>
            <w:color w:val="1E6B5C"/>
            <w:sz w:val="16"/>
            <w:u w:val="single"/>
          </w:rPr>
          <w:t>Source link</w:t>
        </w:r>
      </w:hyperlink>
    </w:p>
    <w:p>
      <w:pPr>
        <w:spacing w:after="80"/>
        <w:widowControl w:val="1"/>
      </w:pPr>
      <w:r>
        <w:rPr>
          <w:rFonts w:ascii="Aptos" w:hAnsi="Aptos"/>
          <w:b/>
          <w:i w:val="0"/>
          <w:color w:val="123B34"/>
          <w:sz w:val="16"/>
        </w:rPr>
        <w:t xml:space="preserve">[S11] Nebius — </w:t>
      </w:r>
      <w:r>
        <w:rPr>
          <w:rFonts w:ascii="Aptos" w:hAnsi="Aptos"/>
          <w:b w:val="0"/>
          <w:i w:val="0"/>
          <w:color w:val="17221F"/>
          <w:sz w:val="16"/>
        </w:rPr>
        <w:t xml:space="preserve">Strategic investment in Toloka led by Bezos Expeditions (7 May 2025). Primary corporate. </w:t>
      </w:r>
      <w:hyperlink r:id="rId20">
        <w:r>
          <w:rPr>
            <w:color w:val="1E6B5C"/>
            <w:sz w:val="16"/>
            <w:u w:val="single"/>
          </w:rPr>
          <w:t>Source link</w:t>
        </w:r>
      </w:hyperlink>
    </w:p>
    <w:p>
      <w:pPr>
        <w:spacing w:after="80"/>
        <w:widowControl w:val="1"/>
      </w:pPr>
      <w:r>
        <w:rPr>
          <w:rFonts w:ascii="Aptos" w:hAnsi="Aptos"/>
          <w:b/>
          <w:i w:val="0"/>
          <w:color w:val="123B34"/>
          <w:sz w:val="16"/>
        </w:rPr>
        <w:t xml:space="preserve">[S12] The Bureau of Investigative Journalism — </w:t>
      </w:r>
      <w:r>
        <w:rPr>
          <w:rFonts w:ascii="Aptos" w:hAnsi="Aptos"/>
          <w:b w:val="0"/>
          <w:i w:val="0"/>
          <w:color w:val="17221F"/>
          <w:sz w:val="16"/>
        </w:rPr>
        <w:t xml:space="preserve">Paid pennies to train tools of repression (27 Mar 2024). Investigative reporting. </w:t>
      </w:r>
      <w:hyperlink r:id="rId21">
        <w:r>
          <w:rPr>
            <w:color w:val="1E6B5C"/>
            <w:sz w:val="16"/>
            <w:u w:val="single"/>
          </w:rPr>
          <w:t>Source link</w:t>
        </w:r>
      </w:hyperlink>
    </w:p>
    <w:p>
      <w:pPr>
        <w:spacing w:after="80"/>
        <w:widowControl w:val="1"/>
      </w:pPr>
      <w:r>
        <w:rPr>
          <w:rFonts w:ascii="Aptos" w:hAnsi="Aptos"/>
          <w:b/>
          <w:i w:val="0"/>
          <w:color w:val="123B34"/>
          <w:sz w:val="16"/>
        </w:rPr>
        <w:t xml:space="preserve">[S13] Toloka — </w:t>
      </w:r>
      <w:r>
        <w:rPr>
          <w:rFonts w:ascii="Aptos" w:hAnsi="Aptos"/>
          <w:b w:val="0"/>
          <w:i w:val="0"/>
          <w:color w:val="17221F"/>
          <w:sz w:val="16"/>
        </w:rPr>
        <w:t xml:space="preserve">Security and privacy claims (Accessed 27 Jul 2026). Company statement. </w:t>
      </w:r>
      <w:hyperlink r:id="rId22">
        <w:r>
          <w:rPr>
            <w:color w:val="1E6B5C"/>
            <w:sz w:val="16"/>
            <w:u w:val="single"/>
          </w:rPr>
          <w:t>Source link</w:t>
        </w:r>
      </w:hyperlink>
    </w:p>
    <w:p>
      <w:pPr>
        <w:spacing w:after="80"/>
        <w:widowControl w:val="1"/>
      </w:pPr>
      <w:r>
        <w:rPr>
          <w:rFonts w:ascii="Aptos" w:hAnsi="Aptos"/>
          <w:b/>
          <w:i w:val="0"/>
          <w:color w:val="123B34"/>
          <w:sz w:val="16"/>
        </w:rPr>
        <w:t xml:space="preserve">[S14] Toloka — </w:t>
      </w:r>
      <w:r>
        <w:rPr>
          <w:rFonts w:ascii="Aptos" w:hAnsi="Aptos"/>
          <w:b w:val="0"/>
          <w:i w:val="0"/>
          <w:color w:val="17221F"/>
          <w:sz w:val="16"/>
        </w:rPr>
        <w:t xml:space="preserve">Toloka Platform Terms of Use (Accessed 27 Jul 2026). Primary contractual. </w:t>
      </w:r>
      <w:hyperlink r:id="rId23">
        <w:r>
          <w:rPr>
            <w:color w:val="1E6B5C"/>
            <w:sz w:val="16"/>
            <w:u w:val="single"/>
          </w:rPr>
          <w:t>Source link</w:t>
        </w:r>
      </w:hyperlink>
    </w:p>
    <w:p>
      <w:pPr>
        <w:spacing w:after="80"/>
        <w:widowControl w:val="1"/>
      </w:pPr>
      <w:r>
        <w:rPr>
          <w:rFonts w:ascii="Aptos" w:hAnsi="Aptos"/>
          <w:b/>
          <w:i w:val="0"/>
          <w:color w:val="123B34"/>
          <w:sz w:val="16"/>
        </w:rPr>
        <w:t xml:space="preserve">[S15] Reuters — </w:t>
      </w:r>
      <w:r>
        <w:rPr>
          <w:rFonts w:ascii="Aptos" w:hAnsi="Aptos"/>
          <w:b w:val="0"/>
          <w:i w:val="0"/>
          <w:color w:val="17221F"/>
          <w:sz w:val="16"/>
        </w:rPr>
        <w:t xml:space="preserve">Bezos leads new investment in AI data company Toloka (7 May 2025). Reputable reporting. </w:t>
      </w:r>
      <w:hyperlink r:id="rId24">
        <w:r>
          <w:rPr>
            <w:color w:val="1E6B5C"/>
            <w:sz w:val="16"/>
            <w:u w:val="single"/>
          </w:rPr>
          <w:t>Source link</w:t>
        </w:r>
      </w:hyperlink>
    </w:p>
    <w:p>
      <w:pPr>
        <w:spacing w:after="80"/>
        <w:widowControl w:val="1"/>
      </w:pPr>
      <w:r>
        <w:rPr>
          <w:rFonts w:ascii="Aptos" w:hAnsi="Aptos"/>
          <w:b/>
          <w:i w:val="0"/>
          <w:color w:val="123B34"/>
          <w:sz w:val="16"/>
        </w:rPr>
        <w:t xml:space="preserve">[S16] Reuters — </w:t>
      </w:r>
      <w:r>
        <w:rPr>
          <w:rFonts w:ascii="Aptos" w:hAnsi="Aptos"/>
          <w:b w:val="0"/>
          <w:i w:val="0"/>
          <w:color w:val="17221F"/>
          <w:sz w:val="16"/>
        </w:rPr>
        <w:t xml:space="preserve">Yandex owner to exit Russia in $5.2bn deal (5 Feb 2024). Reputable reporting. </w:t>
      </w:r>
      <w:hyperlink r:id="rId25">
        <w:r>
          <w:rPr>
            <w:color w:val="1E6B5C"/>
            <w:sz w:val="16"/>
            <w:u w:val="single"/>
          </w:rPr>
          <w:t>Source link</w:t>
        </w:r>
      </w:hyperlink>
    </w:p>
    <w:p>
      <w:pPr>
        <w:spacing w:after="80"/>
        <w:widowControl w:val="1"/>
      </w:pPr>
      <w:r>
        <w:rPr>
          <w:rFonts w:ascii="Aptos" w:hAnsi="Aptos"/>
          <w:b/>
          <w:i w:val="0"/>
          <w:color w:val="123B34"/>
          <w:sz w:val="16"/>
        </w:rPr>
        <w:t xml:space="preserve">[S17] Reuters — </w:t>
      </w:r>
      <w:r>
        <w:rPr>
          <w:rFonts w:ascii="Aptos" w:hAnsi="Aptos"/>
          <w:b w:val="0"/>
          <w:i w:val="0"/>
          <w:color w:val="17221F"/>
          <w:sz w:val="16"/>
        </w:rPr>
        <w:t xml:space="preserve">Investors bid to exchange nearly all eligible Yandex N.V. shares (30 Jun 2024). Reputable reporting. </w:t>
      </w:r>
      <w:hyperlink r:id="rId26">
        <w:r>
          <w:rPr>
            <w:color w:val="1E6B5C"/>
            <w:sz w:val="16"/>
            <w:u w:val="single"/>
          </w:rPr>
          <w:t>Source link</w:t>
        </w:r>
      </w:hyperlink>
    </w:p>
    <w:p>
      <w:pPr>
        <w:spacing w:after="80"/>
        <w:widowControl w:val="1"/>
      </w:pPr>
      <w:r>
        <w:rPr>
          <w:rFonts w:ascii="Aptos" w:hAnsi="Aptos"/>
          <w:b/>
          <w:i w:val="0"/>
          <w:color w:val="123B34"/>
          <w:sz w:val="16"/>
        </w:rPr>
        <w:t xml:space="preserve">[S18] Reuters — </w:t>
      </w:r>
      <w:r>
        <w:rPr>
          <w:rFonts w:ascii="Aptos" w:hAnsi="Aptos"/>
          <w:b w:val="0"/>
          <w:i w:val="0"/>
          <w:color w:val="17221F"/>
          <w:sz w:val="16"/>
        </w:rPr>
        <w:t xml:space="preserve">US sanctions Rosneft and Lukoil (23 Oct 2025). Reputable reporting. </w:t>
      </w:r>
      <w:hyperlink r:id="rId27">
        <w:r>
          <w:rPr>
            <w:color w:val="1E6B5C"/>
            <w:sz w:val="16"/>
            <w:u w:val="single"/>
          </w:rPr>
          <w:t>Source link</w:t>
        </w:r>
      </w:hyperlink>
    </w:p>
    <w:p>
      <w:pPr>
        <w:spacing w:after="80"/>
        <w:widowControl w:val="1"/>
      </w:pPr>
      <w:r>
        <w:rPr>
          <w:rFonts w:ascii="Aptos" w:hAnsi="Aptos"/>
          <w:b/>
          <w:i w:val="0"/>
          <w:color w:val="123B34"/>
          <w:sz w:val="16"/>
        </w:rPr>
        <w:t xml:space="preserve">[S19] Nebius — </w:t>
      </w:r>
      <w:r>
        <w:rPr>
          <w:rFonts w:ascii="Aptos" w:hAnsi="Aptos"/>
          <w:b w:val="0"/>
          <w:i w:val="0"/>
          <w:color w:val="17221F"/>
          <w:sz w:val="16"/>
        </w:rPr>
        <w:t xml:space="preserve">Arkady Volozh board biography (Accessed 27 Jul 2026). Primary corporate. </w:t>
      </w:r>
      <w:hyperlink r:id="rId28">
        <w:r>
          <w:rPr>
            <w:color w:val="1E6B5C"/>
            <w:sz w:val="16"/>
            <w:u w:val="single"/>
          </w:rPr>
          <w:t>Source link</w:t>
        </w:r>
      </w:hyperlink>
    </w:p>
    <w:p>
      <w:pPr>
        <w:spacing w:after="80"/>
        <w:widowControl w:val="1"/>
      </w:pPr>
      <w:r>
        <w:rPr>
          <w:rFonts w:ascii="Aptos" w:hAnsi="Aptos"/>
          <w:b/>
          <w:i w:val="0"/>
          <w:color w:val="123B34"/>
          <w:sz w:val="16"/>
        </w:rPr>
        <w:t xml:space="preserve">[S20] Yandex Board — </w:t>
      </w:r>
      <w:r>
        <w:rPr>
          <w:rFonts w:ascii="Aptos" w:hAnsi="Aptos"/>
          <w:b w:val="0"/>
          <w:i w:val="0"/>
          <w:color w:val="17221F"/>
          <w:sz w:val="16"/>
        </w:rPr>
        <w:t xml:space="preserve">Board statement on Arkady Volozh designation (6 Jun 2022). Company response. </w:t>
      </w:r>
      <w:hyperlink r:id="rId29">
        <w:r>
          <w:rPr>
            <w:color w:val="1E6B5C"/>
            <w:sz w:val="16"/>
            <w:u w:val="single"/>
          </w:rPr>
          <w:t>Source link</w:t>
        </w:r>
      </w:hyperlink>
    </w:p>
    <w:p>
      <w:pPr>
        <w:spacing w:after="80"/>
        <w:widowControl w:val="1"/>
      </w:pPr>
      <w:r>
        <w:rPr>
          <w:rFonts w:ascii="Aptos" w:hAnsi="Aptos"/>
          <w:b/>
          <w:i w:val="0"/>
          <w:color w:val="123B34"/>
          <w:sz w:val="16"/>
        </w:rPr>
        <w:t xml:space="preserve">[S21] Reuters — </w:t>
      </w:r>
      <w:r>
        <w:rPr>
          <w:rFonts w:ascii="Aptos" w:hAnsi="Aptos"/>
          <w:b w:val="0"/>
          <w:i w:val="0"/>
          <w:color w:val="17221F"/>
          <w:sz w:val="16"/>
        </w:rPr>
        <w:t xml:space="preserve">Who is Arkady Volozh and what is Nebius? (16 Jul 2024). Reputable reporting. </w:t>
      </w:r>
      <w:hyperlink r:id="rId30">
        <w:r>
          <w:rPr>
            <w:color w:val="1E6B5C"/>
            <w:sz w:val="16"/>
            <w:u w:val="single"/>
          </w:rPr>
          <w:t>Source link</w:t>
        </w:r>
      </w:hyperlink>
    </w:p>
    <w:p>
      <w:pPr>
        <w:spacing w:after="80"/>
        <w:widowControl w:val="1"/>
      </w:pPr>
      <w:r>
        <w:rPr>
          <w:rFonts w:ascii="Aptos" w:hAnsi="Aptos"/>
          <w:b/>
          <w:i w:val="0"/>
          <w:color w:val="123B34"/>
          <w:sz w:val="16"/>
        </w:rPr>
        <w:t xml:space="preserve">[S22] Nebius / SEC — </w:t>
      </w:r>
      <w:r>
        <w:rPr>
          <w:rFonts w:ascii="Aptos" w:hAnsi="Aptos"/>
          <w:b w:val="0"/>
          <w:i w:val="0"/>
          <w:color w:val="17221F"/>
          <w:sz w:val="16"/>
        </w:rPr>
        <w:t xml:space="preserve">FY2025 controlled-company disclosure (30 Apr 2026). Primary regulatory. </w:t>
      </w:r>
      <w:hyperlink r:id="rId16">
        <w:r>
          <w:rPr>
            <w:color w:val="1E6B5C"/>
            <w:sz w:val="16"/>
            <w:u w:val="single"/>
          </w:rPr>
          <w:t>Source link</w:t>
        </w:r>
      </w:hyperlink>
    </w:p>
    <w:p>
      <w:pPr>
        <w:spacing w:after="80"/>
        <w:widowControl w:val="1"/>
      </w:pPr>
      <w:r>
        <w:rPr>
          <w:rFonts w:ascii="Aptos" w:hAnsi="Aptos"/>
          <w:b/>
          <w:i w:val="0"/>
          <w:color w:val="123B34"/>
          <w:sz w:val="16"/>
        </w:rPr>
        <w:t xml:space="preserve">[S23] Toloka — </w:t>
      </w:r>
      <w:r>
        <w:rPr>
          <w:rFonts w:ascii="Aptos" w:hAnsi="Aptos"/>
          <w:b w:val="0"/>
          <w:i w:val="0"/>
          <w:color w:val="17221F"/>
          <w:sz w:val="16"/>
        </w:rPr>
        <w:t xml:space="preserve">Training data for AI agents and LLMs (Accessed 27 Jul 2026). Company statement. </w:t>
      </w:r>
      <w:hyperlink r:id="rId31">
        <w:r>
          <w:rPr>
            <w:color w:val="1E6B5C"/>
            <w:sz w:val="16"/>
            <w:u w:val="single"/>
          </w:rPr>
          <w:t>Source link</w:t>
        </w:r>
      </w:hyperlink>
    </w:p>
    <w:p>
      <w:pPr>
        <w:spacing w:after="80"/>
        <w:widowControl w:val="1"/>
      </w:pPr>
      <w:r>
        <w:rPr>
          <w:rFonts w:ascii="Aptos" w:hAnsi="Aptos"/>
          <w:b/>
          <w:i w:val="0"/>
          <w:color w:val="123B34"/>
          <w:sz w:val="16"/>
        </w:rPr>
        <w:t xml:space="preserve">[S24] Nebius — </w:t>
      </w:r>
      <w:r>
        <w:rPr>
          <w:rFonts w:ascii="Aptos" w:hAnsi="Aptos"/>
          <w:b w:val="0"/>
          <w:i w:val="0"/>
          <w:color w:val="17221F"/>
          <w:sz w:val="16"/>
        </w:rPr>
        <w:t xml:space="preserve">Microsoft AI infrastructure agreement (8 Sep 2025). Primary corporate. </w:t>
      </w:r>
      <w:hyperlink r:id="rId32">
        <w:r>
          <w:rPr>
            <w:color w:val="1E6B5C"/>
            <w:sz w:val="16"/>
            <w:u w:val="single"/>
          </w:rPr>
          <w:t>Source link</w:t>
        </w:r>
      </w:hyperlink>
    </w:p>
    <w:p>
      <w:pPr>
        <w:spacing w:after="80"/>
        <w:widowControl w:val="1"/>
      </w:pPr>
      <w:r>
        <w:rPr>
          <w:rFonts w:ascii="Aptos" w:hAnsi="Aptos"/>
          <w:b/>
          <w:i w:val="0"/>
          <w:color w:val="123B34"/>
          <w:sz w:val="16"/>
        </w:rPr>
        <w:t xml:space="preserve">[S25] Caspian Post citing Bloomberg — </w:t>
      </w:r>
      <w:r>
        <w:rPr>
          <w:rFonts w:ascii="Aptos" w:hAnsi="Aptos"/>
          <w:b w:val="0"/>
          <w:i w:val="0"/>
          <w:color w:val="17221F"/>
          <w:sz w:val="16"/>
        </w:rPr>
        <w:t xml:space="preserve">Volozh renounces Russian citizenship (27 Feb 2026). Secondary reporting. </w:t>
      </w:r>
      <w:hyperlink r:id="rId33">
        <w:r>
          <w:rPr>
            <w:color w:val="1E6B5C"/>
            <w:sz w:val="16"/>
            <w:u w:val="single"/>
          </w:rPr>
          <w:t>Source link</w:t>
        </w:r>
      </w:hyperlink>
    </w:p>
    <w:p>
      <w:pPr>
        <w:spacing w:after="80"/>
        <w:widowControl w:val="1"/>
      </w:pPr>
      <w:r>
        <w:rPr>
          <w:rFonts w:ascii="Aptos" w:hAnsi="Aptos"/>
          <w:b/>
          <w:i w:val="0"/>
          <w:color w:val="123B34"/>
          <w:sz w:val="16"/>
        </w:rPr>
        <w:t xml:space="preserve">[S26] Yandex / SEC — </w:t>
      </w:r>
      <w:r>
        <w:rPr>
          <w:rFonts w:ascii="Aptos" w:hAnsi="Aptos"/>
          <w:b w:val="0"/>
          <w:i w:val="0"/>
          <w:color w:val="17221F"/>
          <w:sz w:val="16"/>
        </w:rPr>
        <w:t xml:space="preserve">2019 proposed governance amendments / priority share (18 Nov 2019). Primary regulatory. </w:t>
      </w:r>
      <w:hyperlink r:id="rId34">
        <w:r>
          <w:rPr>
            <w:color w:val="1E6B5C"/>
            <w:sz w:val="16"/>
            <w:u w:val="single"/>
          </w:rPr>
          <w:t>Source link</w:t>
        </w:r>
      </w:hyperlink>
    </w:p>
    <w:p>
      <w:pPr>
        <w:spacing w:after="80"/>
        <w:widowControl w:val="1"/>
      </w:pPr>
      <w:r>
        <w:rPr>
          <w:rFonts w:ascii="Aptos" w:hAnsi="Aptos"/>
          <w:b/>
          <w:i w:val="0"/>
          <w:color w:val="123B34"/>
          <w:sz w:val="16"/>
        </w:rPr>
        <w:t xml:space="preserve">[S27] Nebius / SEC — </w:t>
      </w:r>
      <w:r>
        <w:rPr>
          <w:rFonts w:ascii="Aptos" w:hAnsi="Aptos"/>
          <w:b w:val="0"/>
          <w:i w:val="0"/>
          <w:color w:val="17221F"/>
          <w:sz w:val="16"/>
        </w:rPr>
        <w:t xml:space="preserve">FY2025 Highvern/LASTAR beneficial-owner disclosure (30 Apr 2026). Primary regulatory. </w:t>
      </w:r>
      <w:hyperlink r:id="rId16">
        <w:r>
          <w:rPr>
            <w:color w:val="1E6B5C"/>
            <w:sz w:val="16"/>
            <w:u w:val="single"/>
          </w:rPr>
          <w:t>Source link</w:t>
        </w:r>
      </w:hyperlink>
    </w:p>
    <w:p>
      <w:pPr>
        <w:spacing w:after="80"/>
        <w:widowControl w:val="1"/>
      </w:pPr>
      <w:r>
        <w:rPr>
          <w:rFonts w:ascii="Aptos" w:hAnsi="Aptos"/>
          <w:b/>
          <w:i w:val="0"/>
          <w:color w:val="123B34"/>
          <w:sz w:val="16"/>
        </w:rPr>
        <w:t xml:space="preserve">[S28] Reuters — </w:t>
      </w:r>
      <w:r>
        <w:rPr>
          <w:rFonts w:ascii="Aptos" w:hAnsi="Aptos"/>
          <w:b w:val="0"/>
          <w:i w:val="0"/>
          <w:color w:val="17221F"/>
          <w:sz w:val="16"/>
        </w:rPr>
        <w:t xml:space="preserve">Potanin-linked structure acquires 9.95% of Yandex (27 May 2025). Reputable reporting. </w:t>
      </w:r>
      <w:hyperlink r:id="rId35">
        <w:r>
          <w:rPr>
            <w:color w:val="1E6B5C"/>
            <w:sz w:val="16"/>
            <w:u w:val="single"/>
          </w:rPr>
          <w:t>Source link</w:t>
        </w:r>
      </w:hyperlink>
    </w:p>
    <w:p>
      <w:pPr>
        <w:spacing w:after="80"/>
        <w:widowControl w:val="1"/>
      </w:pPr>
      <w:r>
        <w:rPr>
          <w:rFonts w:ascii="Aptos" w:hAnsi="Aptos"/>
          <w:b/>
          <w:i w:val="0"/>
          <w:color w:val="123B34"/>
          <w:sz w:val="16"/>
        </w:rPr>
        <w:t xml:space="preserve">[S29] Nebius / SEC — </w:t>
      </w:r>
      <w:r>
        <w:rPr>
          <w:rFonts w:ascii="Aptos" w:hAnsi="Aptos"/>
          <w:b w:val="0"/>
          <w:i w:val="0"/>
          <w:color w:val="17221F"/>
          <w:sz w:val="16"/>
        </w:rPr>
        <w:t xml:space="preserve">Toloka deconsolidation following Q2 2025 investment (20 May 2025). Primary regulatory. </w:t>
      </w:r>
      <w:hyperlink r:id="rId36">
        <w:r>
          <w:rPr>
            <w:color w:val="1E6B5C"/>
            <w:sz w:val="16"/>
            <w:u w:val="single"/>
          </w:rPr>
          <w:t>Source link</w:t>
        </w:r>
      </w:hyperlink>
    </w:p>
    <w:p>
      <w:pPr>
        <w:spacing w:after="80"/>
        <w:widowControl w:val="1"/>
      </w:pPr>
      <w:r>
        <w:rPr>
          <w:rFonts w:ascii="Aptos" w:hAnsi="Aptos"/>
          <w:b/>
          <w:i w:val="0"/>
          <w:color w:val="123B34"/>
          <w:sz w:val="16"/>
        </w:rPr>
        <w:t xml:space="preserve">[S30] Nebius / SEC — </w:t>
      </w:r>
      <w:r>
        <w:rPr>
          <w:rFonts w:ascii="Aptos" w:hAnsi="Aptos"/>
          <w:b w:val="0"/>
          <w:i w:val="0"/>
          <w:color w:val="17221F"/>
          <w:sz w:val="16"/>
        </w:rPr>
        <w:t xml:space="preserve">Outstanding share classes and current operating profile, Q1 2026 (13 May 2026). Primary regulatory. </w:t>
      </w:r>
      <w:hyperlink r:id="rId17">
        <w:r>
          <w:rPr>
            <w:color w:val="1E6B5C"/>
            <w:sz w:val="16"/>
            <w:u w:val="single"/>
          </w:rPr>
          <w:t>Source link</w:t>
        </w:r>
      </w:hyperlink>
    </w:p>
    <w:p>
      <w:pPr>
        <w:spacing w:after="80"/>
        <w:widowControl w:val="1"/>
      </w:pPr>
      <w:r>
        <w:rPr>
          <w:rFonts w:ascii="Aptos" w:hAnsi="Aptos"/>
          <w:b/>
          <w:i w:val="0"/>
          <w:color w:val="123B34"/>
          <w:sz w:val="16"/>
        </w:rPr>
        <w:t xml:space="preserve">[S31] Mindrift — </w:t>
      </w:r>
      <w:r>
        <w:rPr>
          <w:rFonts w:ascii="Aptos" w:hAnsi="Aptos"/>
          <w:b w:val="0"/>
          <w:i w:val="0"/>
          <w:color w:val="17221F"/>
          <w:sz w:val="16"/>
        </w:rPr>
        <w:t xml:space="preserve">Toloka tasks migrated to Mindrift (Accessed 27 Jul 2026). Company statement. </w:t>
      </w:r>
      <w:hyperlink r:id="rId37">
        <w:r>
          <w:rPr>
            <w:color w:val="1E6B5C"/>
            <w:sz w:val="16"/>
            <w:u w:val="single"/>
          </w:rPr>
          <w:t>Source link</w:t>
        </w:r>
      </w:hyperlink>
    </w:p>
    <w:p>
      <w:pPr>
        <w:widowControl w:val="1"/>
      </w:pPr>
      <w:r/>
    </w:p>
    <w:p>
      <w:pPr/>
      <w:r>
        <w:rPr>
          <w:b/>
          <w:color w:val="123B34"/>
        </w:rPr>
        <w:t xml:space="preserve">[S32] NHTSA — </w:t>
      </w:r>
      <w:r>
        <w:rPr>
          <w:color w:val="17221F"/>
        </w:rPr>
        <w:t xml:space="preserve">Avride ODI Preliminary Evaluation PE26003, opened 6 May 2026. Primary government. </w:t>
      </w:r>
      <w:hyperlink r:id="rId38">
        <w:r>
          <w:rPr>
            <w:color w:val="5B6864"/>
            <w:b/>
            <w:u w:val="single"/>
          </w:rPr>
          <w:t>Source link</w:t>
        </w:r>
      </w:hyperlink>
    </w:p>
    <w:p>
      <w:pPr/>
      <w:r>
        <w:rPr>
          <w:b/>
          <w:color w:val="123B34"/>
        </w:rPr>
        <w:t xml:space="preserve">[S33] Jefferson County Circuit Court — </w:t>
      </w:r>
      <w:r>
        <w:rPr>
          <w:color w:val="17221F"/>
        </w:rPr>
        <w:t xml:space="preserve">Sansome and Hilley v. Hoar Construction et al., verified complaint filed 29 Jun 2026. Primary court record. </w:t>
      </w:r>
      <w:hyperlink r:id="rId39">
        <w:r>
          <w:rPr>
            <w:color w:val="5B6864"/>
            <w:b/>
            <w:u w:val="single"/>
          </w:rPr>
          <w:t>Source link</w:t>
        </w:r>
      </w:hyperlink>
    </w:p>
    <w:p>
      <w:pPr/>
      <w:r>
        <w:rPr>
          <w:b/>
          <w:color w:val="123B34"/>
        </w:rPr>
        <w:t xml:space="preserve">[S34] Jefferson County Circuit Court — </w:t>
      </w:r>
      <w:r>
        <w:rPr>
          <w:color w:val="17221F"/>
        </w:rPr>
        <w:t xml:space="preserve">Order allowing preliminary-injunction hearing to proceed (10 Jul 2026). Primary court record. </w:t>
      </w:r>
      <w:hyperlink r:id="rId40">
        <w:r>
          <w:rPr>
            <w:color w:val="5B6864"/>
            <w:b/>
            <w:u w:val="single"/>
          </w:rPr>
          <w:t>Source link</w:t>
        </w:r>
      </w:hyperlink>
    </w:p>
    <w:p>
      <w:pPr/>
      <w:r>
        <w:rPr>
          <w:b/>
          <w:color w:val="123B34"/>
        </w:rPr>
        <w:t xml:space="preserve">[S35] Nebius / SEC — </w:t>
      </w:r>
      <w:r>
        <w:rPr>
          <w:color w:val="17221F"/>
        </w:rPr>
        <w:t xml:space="preserve">Meta infrastructure-services agreement, Form 6-K (16 Mar 2026). Primary regulatory. </w:t>
      </w:r>
      <w:hyperlink r:id="rId41">
        <w:r>
          <w:rPr>
            <w:color w:val="5B6864"/>
            <w:b/>
            <w:u w:val="single"/>
          </w:rPr>
          <w:t>Source link</w:t>
        </w:r>
      </w:hyperlink>
    </w:p>
    <w:p>
      <w:pPr/>
      <w:r>
        <w:rPr>
          <w:b/>
          <w:color w:val="123B34"/>
        </w:rPr>
        <w:t xml:space="preserve">[S36] Nebius / SEC — </w:t>
      </w:r>
      <w:r>
        <w:rPr>
          <w:color w:val="17221F"/>
        </w:rPr>
        <w:t xml:space="preserve">Q1 2026 financial statements: Tavily acquisition, NVIDIA investment and Meta terms (13 May 2026). Primary regulatory. </w:t>
      </w:r>
      <w:hyperlink r:id="rId42">
        <w:r>
          <w:rPr>
            <w:color w:val="5B6864"/>
            <w:b/>
            <w:u w:val="single"/>
          </w:rPr>
          <w:t>Source link</w:t>
        </w:r>
      </w:hyperlink>
    </w:p>
    <w:p>
      <w:pPr/>
      <w:r>
        <w:rPr>
          <w:b/>
          <w:color w:val="123B34"/>
        </w:rPr>
        <w:t xml:space="preserve">[S37] NVIDIA / SEC — </w:t>
      </w:r>
      <w:r>
        <w:rPr>
          <w:color w:val="17221F"/>
        </w:rPr>
        <w:t xml:space="preserve">Schedule 13G reporting 9.3% beneficial ownership and warrant qualification (20 Jul 2026). Primary regulatory. </w:t>
      </w:r>
      <w:hyperlink r:id="rId43">
        <w:r>
          <w:rPr>
            <w:color w:val="5B6864"/>
            <w:b/>
            <w:u w:val="single"/>
          </w:rPr>
          <w:t>Source link</w:t>
        </w:r>
      </w:hyperlink>
    </w:p>
    <w:p>
      <w:pPr/>
      <w:r>
        <w:rPr>
          <w:b/>
          <w:color w:val="123B34"/>
        </w:rPr>
        <w:t xml:space="preserve">[S38] Nebius / SEC — </w:t>
      </w:r>
      <w:r>
        <w:rPr>
          <w:color w:val="17221F"/>
        </w:rPr>
        <w:t xml:space="preserve">Eigen AI acquisition agreement and approximately $643m signing value (1 May 2026). Primary regulatory. </w:t>
      </w:r>
      <w:hyperlink r:id="rId44">
        <w:r>
          <w:rPr>
            <w:color w:val="5B6864"/>
            <w:b/>
            <w:u w:val="single"/>
          </w:rPr>
          <w:t>Source link</w:t>
        </w:r>
      </w:hyperlink>
    </w:p>
    <w:p>
      <w:pPr/>
      <w:r>
        <w:rPr>
          <w:b/>
          <w:color w:val="123B34"/>
        </w:rPr>
        <w:t xml:space="preserve">[S39] Nebius / SEC — </w:t>
      </w:r>
      <w:r>
        <w:rPr>
          <w:color w:val="17221F"/>
        </w:rPr>
        <w:t xml:space="preserve">Completion of Eigen AI acquisition (16 Jun 2026). Primary regulatory. </w:t>
      </w:r>
      <w:hyperlink r:id="rId45">
        <w:r>
          <w:rPr>
            <w:color w:val="5B6864"/>
            <w:b/>
            <w:u w:val="single"/>
          </w:rPr>
          <w:t>Source link</w:t>
        </w:r>
      </w:hyperlink>
    </w:p>
    <w:p>
      <w:pPr/>
      <w:r>
        <w:rPr>
          <w:b/>
          <w:color w:val="123B34"/>
        </w:rPr>
        <w:t xml:space="preserve">[S40] Nebius — </w:t>
      </w:r>
      <w:r>
        <w:rPr>
          <w:color w:val="17221F"/>
        </w:rPr>
        <w:t xml:space="preserve">Lappeenranta 310 MW AI facility announcement (31 Mar 2026). Primary corporate. </w:t>
      </w:r>
      <w:hyperlink r:id="rId46">
        <w:r>
          <w:rPr>
            <w:color w:val="5B6864"/>
            <w:b/>
            <w:u w:val="single"/>
          </w:rPr>
          <w:t>Source link</w:t>
        </w:r>
      </w:hyperlink>
    </w:p>
    <w:p>
      <w:pPr/>
      <w:r>
        <w:rPr>
          <w:b/>
          <w:color w:val="123B34"/>
        </w:rPr>
        <w:t xml:space="preserve">[S41] Nebius / SEC — </w:t>
      </w:r>
      <w:r>
        <w:rPr>
          <w:color w:val="17221F"/>
        </w:rPr>
        <w:t xml:space="preserve">Microsoft contract value and potential additional services, prospectus disclosure (2025). Primary regulatory. </w:t>
      </w:r>
      <w:hyperlink r:id="rId47">
        <w:r>
          <w:rPr>
            <w:color w:val="5B6864"/>
            <w:b/>
            <w:u w:val="single"/>
          </w:rPr>
          <w:t>Source link</w:t>
        </w:r>
      </w:hyperlink>
    </w:p>
    <w:p>
      <w:pPr/>
      <w:r>
        <w:rPr>
          <w:b/>
          <w:color w:val="123B34"/>
        </w:rPr>
        <w:t xml:space="preserve">[S42] President of Ukraine / NSDC — </w:t>
      </w:r>
      <w:r>
        <w:rPr>
          <w:color w:val="17221F"/>
        </w:rPr>
        <w:t xml:space="preserve">Decree No. 726/2022 and official attachment naming Arkady Volozh among persons subject to ten-year Ukrainian sanctions (19 Oct 2022). Primary government. </w:t>
      </w:r>
      <w:hyperlink r:id="rId48">
        <w:r>
          <w:rPr>
            <w:color w:val="5B6864"/>
            <w:b/>
            <w:u w:val="single"/>
          </w:rPr>
          <w:t>Source link</w:t>
        </w:r>
      </w:hyperlink>
    </w:p>
    <w:p>
      <w:pPr/>
      <w:r>
        <w:rPr>
          <w:b/>
          <w:color w:val="123B34"/>
        </w:rPr>
        <w:t xml:space="preserve">[S43] OpenSanctions — </w:t>
      </w:r>
      <w:r>
        <w:rPr>
          <w:color w:val="17221F"/>
        </w:rPr>
        <w:t xml:space="preserve">Arkady Volozh entity record, identifying an active Ukraine NSDC listing from 19 Oct 2022 to 19 Oct 2032. Secondary sanctions-data aggregation. </w:t>
      </w:r>
      <w:hyperlink r:id="rId49">
        <w:r>
          <w:rPr>
            <w:color w:val="5B6864"/>
            <w:b/>
            <w:u w:val="single"/>
          </w:rPr>
          <w:t>Source link</w:t>
        </w:r>
      </w:hyperlink>
    </w:p>
    <w:p>
      <w:pPr/>
      <w:r>
        <w:rPr>
          <w:b/>
          <w:color w:val="123B34"/>
        </w:rPr>
        <w:t xml:space="preserve">[S44] Volozh / SEC — </w:t>
      </w:r>
      <w:r>
        <w:rPr>
          <w:color w:val="17221F"/>
        </w:rPr>
        <w:t xml:space="preserve">Form 4 reporting the automatic sale of 46,627 shares on 1 Jul 2026 solely to meet estimated tax-withholding obligations; the filing states that the sale was not discretionary. Primary regulatory. </w:t>
      </w:r>
      <w:hyperlink r:id="rId50">
        <w:r>
          <w:rPr>
            <w:color w:val="5B6864"/>
            <w:b/>
            <w:u w:val="single"/>
          </w:rPr>
          <w:t>Source link</w:t>
        </w:r>
      </w:hyperlink>
    </w:p>
    <w:p>
      <w:pPr/>
      <w:r>
        <w:rPr>
          <w:b/>
          <w:color w:val="123B34"/>
        </w:rPr>
        <w:t xml:space="preserve">[S45] Shtan / SEC — </w:t>
      </w:r>
      <w:r>
        <w:rPr>
          <w:color w:val="17221F"/>
        </w:rPr>
        <w:t xml:space="preserve">Form 4 reporting the automatic sale of 16,937 shares on 1 Jul 2026 solely to meet estimated tax-withholding obligations; the filing states that the sale was not discretionary. Primary regulatory. </w:t>
      </w:r>
      <w:hyperlink r:id="rId51">
        <w:r>
          <w:rPr>
            <w:color w:val="5B6864"/>
            <w:b/>
            <w:u w:val="single"/>
          </w:rPr>
          <w:t>Source link</w:t>
        </w:r>
      </w:hyperlink>
    </w:p>
    <w:p>
      <w:pPr/>
      <w:r>
        <w:rPr>
          <w:b/>
          <w:color w:val="123B34"/>
        </w:rPr>
        <w:t xml:space="preserve">[S46] Boroditsky / SEC — </w:t>
      </w:r>
      <w:r>
        <w:rPr>
          <w:color w:val="17221F"/>
        </w:rPr>
        <w:t xml:space="preserve">Form 4 reporting the sale of 4,500 shares on 15 May 2026 under a Rule 10b5-1 plan adopted 15 Sep 2025. Primary regulatory. </w:t>
      </w:r>
      <w:hyperlink r:id="rId52">
        <w:r>
          <w:rPr>
            <w:color w:val="5B6864"/>
            <w:b/>
            <w:u w:val="single"/>
          </w:rPr>
          <w:t>Source link</w:t>
        </w:r>
      </w:hyperlink>
    </w:p>
    <w:p>
      <w:pPr/>
      <w:r>
        <w:rPr>
          <w:b/>
          <w:color w:val="123B34"/>
        </w:rPr>
        <w:t xml:space="preserve">[S47] Bunina / SEC — </w:t>
      </w:r>
      <w:r>
        <w:rPr>
          <w:color w:val="17221F"/>
        </w:rPr>
        <w:t xml:space="preserve">Form 144 identifying May 2026 sales and a Rule 10b5-1 plan adopted 24 Nov 2025. Primary regulatory. </w:t>
      </w:r>
      <w:hyperlink r:id="rId53">
        <w:r>
          <w:rPr>
            <w:color w:val="5B6864"/>
            <w:b/>
            <w:u w:val="single"/>
          </w:rPr>
          <w:t>Source link</w:t>
        </w:r>
      </w:hyperlink>
    </w:p>
    <w:p>
      <w:pPr/>
      <w:r>
        <w:rPr>
          <w:b/>
          <w:color w:val="123B34"/>
        </w:rPr>
        <w:t xml:space="preserve">[S48] Quiver Quantitative — </w:t>
      </w:r>
      <w:r>
        <w:rPr>
          <w:color w:val="17221F"/>
        </w:rPr>
        <w:t xml:space="preserve">Nebius insider-activity snapshot reporting 32 open-market sales and no purchases over the six months to 1 Jul 2026; secondary aggregation subject to the publisher’s data limitations. </w:t>
      </w:r>
      <w:hyperlink r:id="rId54">
        <w:r>
          <w:rPr>
            <w:color w:val="5B6864"/>
            <w:b/>
            <w:u w:val="single"/>
          </w:rPr>
          <w:t>Source link</w:t>
        </w:r>
      </w:hyperlink>
    </w:p>
    <w:p>
      <w:pPr/>
      <w:r>
        <w:rPr>
          <w:b/>
          <w:color w:val="123B34"/>
        </w:rPr>
        <w:t xml:space="preserve">[S49] Volozh / SEC — </w:t>
      </w:r>
      <w:r>
        <w:rPr>
          <w:color w:val="17221F"/>
        </w:rPr>
        <w:t xml:space="preserve">Form 4 reporting the automatic sale of 33,358 shares on 1 Apr 2026 solely to meet estimated tax-withholding obligations; the filing states that the sale was not discretionary. Primary regulatory. </w:t>
      </w:r>
      <w:hyperlink r:id="rId55">
        <w:r>
          <w:rPr>
            <w:color w:val="5B6864"/>
            <w:b/>
            <w:u w:val="single"/>
          </w:rPr>
          <w:t>Source link</w:t>
        </w:r>
      </w:hyperlink>
    </w:p>
    <w:p>
      <w:pPr/>
    </w:p>
    <w:p>
      <w:pPr>
        <w:pStyle w:val="Heading1"/>
        <w:widowControl w:val="1"/>
      </w:pPr>
      <w:r>
        <w:t>How the review was performed, limitations and legal caution</w:t>
      </w:r>
    </w:p>
    <w:p>
      <w:pPr>
        <w:pStyle w:val="Heading2"/>
        <w:widowControl w:val="1"/>
      </w:pPr>
      <w:r>
        <w:t>Method</w:t>
      </w:r>
    </w:p>
    <w:p>
      <w:pPr>
        <w:pStyle w:val="ListBullet"/>
        <w:spacing w:after="70"/>
        <w:ind w:left="720" w:hanging="360"/>
        <w:widowControl w:val="1"/>
      </w:pPr>
      <w:r>
        <w:t>Checked the important statements in the underlying open-source profile against current public sources.</w:t>
      </w:r>
    </w:p>
    <w:p>
      <w:pPr>
        <w:pStyle w:val="ListBullet"/>
        <w:spacing w:after="70"/>
        <w:ind w:left="720" w:hanging="360"/>
        <w:widowControl w:val="1"/>
      </w:pPr>
      <w:r>
        <w:t>Gave greatest weight to EU legal documents, SEC filings, company transaction notices and current financial reports.</w:t>
      </w:r>
    </w:p>
    <w:p>
      <w:pPr>
        <w:pStyle w:val="ListBullet"/>
        <w:spacing w:after="70"/>
        <w:ind w:left="720" w:hanging="360"/>
        <w:widowControl w:val="1"/>
      </w:pPr>
      <w:r>
        <w:t>Used Reuters and specialist investigative reporting where official records were unavailable or where allegations and company responses needed to be presented.</w:t>
      </w:r>
    </w:p>
    <w:p>
      <w:pPr>
        <w:pStyle w:val="ListBullet"/>
        <w:spacing w:after="70"/>
        <w:ind w:left="720" w:hanging="360"/>
        <w:widowControl w:val="1"/>
      </w:pPr>
      <w:r>
        <w:t>Distinguished current sanctions status from former sanctions listings and did not treat conduct by Russian Yandex after the sale as conduct by Nebius.</w:t>
      </w:r>
    </w:p>
    <w:p>
      <w:pPr>
        <w:pStyle w:val="ListBullet"/>
        <w:spacing w:after="70"/>
        <w:ind w:left="720" w:hanging="360"/>
        <w:widowControl w:val="1"/>
      </w:pPr>
      <w:r>
        <w:t>Considered sanctions, money laundering and terrorist financing, the origin of wealth and funds, management and control, reputation, data, AI, human rights, cybersecurity and the ability to continue operating.</w:t>
      </w:r>
    </w:p>
    <w:p>
      <w:pPr>
        <w:pStyle w:val="Heading2"/>
        <w:widowControl w:val="1"/>
      </w:pPr>
      <w:r>
        <w:t>Limitations</w:t>
      </w:r>
    </w:p>
    <w:p>
      <w:pPr>
        <w:pStyle w:val="ListBullet"/>
        <w:spacing w:after="70"/>
        <w:ind w:left="720" w:hanging="360"/>
        <w:widowControl w:val="1"/>
      </w:pPr>
      <w:r>
        <w:t>No paid databases covering company ownership, court cases, banking, tax, passports, trusts, ultimate owners or transactions were accessed.</w:t>
      </w:r>
    </w:p>
    <w:p>
      <w:pPr>
        <w:pStyle w:val="ListBullet"/>
        <w:spacing w:after="70"/>
        <w:ind w:left="720" w:hanging="360"/>
        <w:widowControl w:val="1"/>
      </w:pPr>
      <w:r>
        <w:rPr>
          <w:rFonts w:ascii="Aptos" w:hAnsi="Aptos"/>
          <w:b w:val="0"/>
          <w:i w:val="0"/>
          <w:color w:val="17221F"/>
          <w:sz w:val="20"/>
        </w:rPr>
        <w:t>No interviews, right-of-reply outreach, site visits, forensic accounting or independent control testing were performed.</w:t>
      </w:r>
    </w:p>
    <w:p>
      <w:pPr>
        <w:pStyle w:val="ListBullet"/>
        <w:spacing w:after="70"/>
        <w:ind w:left="720" w:hanging="360"/>
        <w:widowControl w:val="1"/>
      </w:pPr>
      <w:r>
        <w:rPr>
          <w:rFonts w:ascii="Aptos" w:hAnsi="Aptos"/>
          <w:b w:val="0"/>
          <w:i w:val="0"/>
          <w:color w:val="17221F"/>
          <w:sz w:val="20"/>
        </w:rPr>
        <w:t>Sanctions lists and ownership can change immediately; this report is a point-in-time research product.</w:t>
      </w:r>
    </w:p>
    <w:p>
      <w:pPr>
        <w:pStyle w:val="ListBullet"/>
        <w:spacing w:after="70"/>
        <w:ind w:left="720" w:hanging="360"/>
        <w:widowControl w:val="1"/>
      </w:pPr>
      <w:r>
        <w:rPr>
          <w:rFonts w:ascii="Aptos" w:hAnsi="Aptos"/>
          <w:b w:val="0"/>
          <w:i w:val="0"/>
          <w:color w:val="17221F"/>
          <w:sz w:val="20"/>
        </w:rPr>
        <w:t>Company assertions about certifications, customers and controls were not independently audited.</w:t>
      </w:r>
    </w:p>
    <w:p>
      <w:pPr>
        <w:pStyle w:val="ListBullet"/>
        <w:spacing w:after="70"/>
        <w:ind w:left="720" w:hanging="360"/>
        <w:widowControl w:val="1"/>
      </w:pPr>
      <w:r>
        <w:rPr>
          <w:rFonts w:ascii="Aptos" w:hAnsi="Aptos"/>
          <w:b w:val="0"/>
          <w:i w:val="0"/>
          <w:color w:val="17221F"/>
          <w:sz w:val="20"/>
        </w:rPr>
        <w:t>The report does not determine criminal, civil or regulatory liability and does not establish misconduct beyond the cited evidence.</w:t>
      </w:r>
    </w:p>
    <w:p>
      <w:pPr>
        <w:pStyle w:val="RiskHigh"/>
        <w:widowControl w:val="1"/>
      </w:pPr>
      <w:r/>
      <w:r>
        <w:rPr>
          <w:b/>
        </w:rPr>
        <w:t xml:space="preserve">Legal status limitation  </w:t>
      </w:r>
      <w:r>
        <w:t>This report is based on public information and is not a legal opinion. It does not decide how sanctions, ownership and control rules, or transaction laws apply in any country.</w:t>
      </w: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B6864"/>
        <w:sz w:val="16"/>
      </w:rPr>
      <w:t xml:space="preserve">Prepared 28 July 2026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1E6B5C"/>
        <w:sz w:val="17"/>
      </w:rPr>
      <w:t>PROSPECT ACCEPTANCE</w:t>
    </w:r>
    <w:r>
      <w:rPr>
        <w:rFonts w:ascii="Aptos" w:hAnsi="Aptos"/>
        <w:b w:val="0"/>
        <w:i w:val="0"/>
        <w:color w:val="5B6864"/>
        <w:sz w:val="17"/>
      </w:rPr>
      <w:t xml:space="preserve">   |   OPEN-SOURCE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2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23B34"/>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E6B5C"/>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23B3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23B3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5B686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20" w:line="252" w:lineRule="auto"/>
      <w:ind w:left="259" w:right="173"/>
      <w:shd w:fill="E8F2EF"/>
    </w:pPr>
    <w:rPr>
      <w:rFonts w:ascii="Aptos" w:hAnsi="Aptos"/>
      <w:color w:val="123B34"/>
      <w:sz w:val="19"/>
    </w:rPr>
  </w:style>
  <w:style w:type="paragraph" w:customStyle="1" w:styleId="RiskHigh">
    <w:name w:val="RiskHigh"/>
    <w:pPr>
      <w:spacing w:before="100" w:after="120" w:line="252" w:lineRule="auto"/>
      <w:ind w:left="259" w:right="173"/>
      <w:shd w:fill="F8E7E5"/>
    </w:pPr>
    <w:rPr>
      <w:rFonts w:ascii="Aptos" w:hAnsi="Aptos"/>
      <w:color w:val="A33A35"/>
      <w:sz w:val="19"/>
    </w:rPr>
  </w:style>
  <w:style w:type="paragraph" w:customStyle="1" w:styleId="RiskMedium">
    <w:name w:val="RiskMedium"/>
    <w:pPr>
      <w:spacing w:before="100" w:after="120" w:line="252" w:lineRule="auto"/>
      <w:ind w:left="259" w:right="173"/>
      <w:shd w:fill="FBF0DF"/>
    </w:pPr>
    <w:rPr>
      <w:rFonts w:ascii="Aptos" w:hAnsi="Aptos"/>
      <w:color w:val="C17B21"/>
      <w:sz w:val="19"/>
    </w:rPr>
  </w:style>
  <w:style w:type="paragraph" w:customStyle="1" w:styleId="RiskLow">
    <w:name w:val="RiskLow"/>
    <w:pPr>
      <w:spacing w:before="100" w:after="120" w:line="252" w:lineRule="auto"/>
      <w:ind w:left="259" w:right="173"/>
      <w:shd w:fill="E8F3EA"/>
    </w:pPr>
    <w:rPr>
      <w:rFonts w:ascii="Aptos" w:hAnsi="Aptos"/>
      <w:color w:val="1E6B5C"/>
      <w:sz w:val="19"/>
    </w:rPr>
  </w:style>
  <w:style w:type="paragraph" w:customStyle="1" w:styleId="EvidenceNote">
    <w:name w:val="EvidenceNote"/>
    <w:pPr>
      <w:spacing w:before="100" w:after="120" w:line="252" w:lineRule="auto"/>
      <w:ind w:left="259" w:right="173"/>
      <w:shd w:fill="F4F8F7"/>
    </w:pPr>
    <w:rPr>
      <w:rFonts w:ascii="Aptos" w:hAnsi="Aptos"/>
      <w:color w:val="5B686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ur-lex.europa.eu/legal-content/EN/TXT/HTML/?uri=OJ:L:2022:153:FULL" TargetMode="External"/><Relationship Id="rId12" Type="http://schemas.openxmlformats.org/officeDocument/2006/relationships/hyperlink" Target="https://eur-lex.europa.eu/legal-content/EN/TXT/HTML/?uri=OJ:L_202400849" TargetMode="External"/><Relationship Id="rId13" Type="http://schemas.openxmlformats.org/officeDocument/2006/relationships/hyperlink" Target="https://www.reuters.com/world/europe/yandex-co-founder-arkady-volozh-be-removed-eu-russian-sanctions-list-sources-say-2024-02-21/" TargetMode="External"/><Relationship Id="rId14" Type="http://schemas.openxmlformats.org/officeDocument/2006/relationships/hyperlink" Target="https://www.reuters.com/markets/deals/yandex-nv-finalises-54-bln-deal-sell-russian-businesses-2024-07-15/" TargetMode="External"/><Relationship Id="rId15" Type="http://schemas.openxmlformats.org/officeDocument/2006/relationships/hyperlink" Target="https://yandex.com/company/news/05-02-2024" TargetMode="External"/><Relationship Id="rId16" Type="http://schemas.openxmlformats.org/officeDocument/2006/relationships/hyperlink" Target="https://www.sec.gov/Archives/edgar/data/1513845/000110465926052948/nbis-20251231x20f.htm" TargetMode="External"/><Relationship Id="rId17" Type="http://schemas.openxmlformats.org/officeDocument/2006/relationships/hyperlink" Target="https://www.sec.gov/Archives/edgar/data/1513845/000110465926059872/tm2614392d1_ex99-1.htm" TargetMode="External"/><Relationship Id="rId18" Type="http://schemas.openxmlformats.org/officeDocument/2006/relationships/hyperlink" Target="https://www.sec.gov/Archives/edgar/data/1513845/000151384524000022/tmb-20240718xex99d1.htm" TargetMode="External"/><Relationship Id="rId19" Type="http://schemas.openxmlformats.org/officeDocument/2006/relationships/hyperlink" Target="https://www.sec.gov/Archives/edgar/data/1513845/000151384526000030/xslF345X06/form3.xml" TargetMode="External"/><Relationship Id="rId20" Type="http://schemas.openxmlformats.org/officeDocument/2006/relationships/hyperlink" Target="https://nebius.com/newsroom/nebius-welcomes-bezos-expeditions-as-lead-investor-in-ai-data-business-toloka" TargetMode="External"/><Relationship Id="rId21" Type="http://schemas.openxmlformats.org/officeDocument/2006/relationships/hyperlink" Target="https://www.thebureauinvestigates.com/stories/2024-03-27/paid-pennies-to-train-tools-of-repression-the-humans-behind-moscows-state-surveillance" TargetMode="External"/><Relationship Id="rId22" Type="http://schemas.openxmlformats.org/officeDocument/2006/relationships/hyperlink" Target="https://toloka.ai/security" TargetMode="External"/><Relationship Id="rId23" Type="http://schemas.openxmlformats.org/officeDocument/2006/relationships/hyperlink" Target="https://toloka.ai/tolokers/legal/terms" TargetMode="External"/><Relationship Id="rId24" Type="http://schemas.openxmlformats.org/officeDocument/2006/relationships/hyperlink" Target="https://www.reuters.com/business/amazons-bezos-leads-new-investment-ai-data-company-toloka-2025-05-07/" TargetMode="External"/><Relationship Id="rId25" Type="http://schemas.openxmlformats.org/officeDocument/2006/relationships/hyperlink" Target="https://www.reuters.com/technology/yandex-nv-agrees-52-bln-sale-russian-assets-investor-consortium-2024-02-05/" TargetMode="External"/><Relationship Id="rId26" Type="http://schemas.openxmlformats.org/officeDocument/2006/relationships/hyperlink" Target="https://www.reuters.com/business/finance/investors-bid-exchange-nearly-all-eligible-yandex-nv-shares-russian-entity-2024-07-01/" TargetMode="External"/><Relationship Id="rId27" Type="http://schemas.openxmlformats.org/officeDocument/2006/relationships/hyperlink" Target="https://www.reuters.com/business/energy/us-sanctioned-russian-oil-majors-rosneft-lukoil-2025-10-23/" TargetMode="External"/><Relationship Id="rId28" Type="http://schemas.openxmlformats.org/officeDocument/2006/relationships/hyperlink" Target="https://nebius.com/board-of-directors/arkady-volozh" TargetMode="External"/><Relationship Id="rId29" Type="http://schemas.openxmlformats.org/officeDocument/2006/relationships/hyperlink" Target="https://www.eqs-news.com/news/corporate/yandex-board-of-directors-statement-on-arkady-volozh-designation/6de3923b-f592-474a-84eb-d7ec6887156f_en" TargetMode="External"/><Relationship Id="rId30" Type="http://schemas.openxmlformats.org/officeDocument/2006/relationships/hyperlink" Target="https://www.reuters.com/technology/artificial-intelligence/who-is-arkady-volozh-former-yandex-ceo-what-is-his-new-ai-venture-2024-07-16/" TargetMode="External"/><Relationship Id="rId31" Type="http://schemas.openxmlformats.org/officeDocument/2006/relationships/hyperlink" Target="https://toloka.ai/" TargetMode="External"/><Relationship Id="rId32" Type="http://schemas.openxmlformats.org/officeDocument/2006/relationships/hyperlink" Target="https://nebius.com/newsroom/nebius-announces-multi-billion-dollar-agreement-with-microsoft-for-ai-infrastructure" TargetMode="External"/><Relationship Id="rId33" Type="http://schemas.openxmlformats.org/officeDocument/2006/relationships/hyperlink" Target="https://caspianpost.com/economics/yandex-founder-arkady-volozh-renounces-russian-citizenship" TargetMode="External"/><Relationship Id="rId34" Type="http://schemas.openxmlformats.org/officeDocument/2006/relationships/hyperlink" Target="https://www.sec.gov/Archives/edgar/data/1513845/000110465919064935/a19-23249_1ex99d2.htm" TargetMode="External"/><Relationship Id="rId35" Type="http://schemas.openxmlformats.org/officeDocument/2006/relationships/hyperlink" Target="https://www.reuters.com/technology/metals-billionaire-potanin-acquires-minority-stake-russias-google-2025-05-27/" TargetMode="External"/><Relationship Id="rId36" Type="http://schemas.openxmlformats.org/officeDocument/2006/relationships/hyperlink" Target="https://www.sec.gov/Archives/edgar/data/1513845/000110465925050975/tm2515580d1_ex99-1.htm" TargetMode="External"/><Relationship Id="rId37" Type="http://schemas.openxmlformats.org/officeDocument/2006/relationships/hyperlink" Target="https://mindrift.ai/welcome" TargetMode="External"/><Relationship Id="rId38" Type="http://schemas.openxmlformats.org/officeDocument/2006/relationships/hyperlink" Target="https://static.nhtsa.gov/odi/inv/2026/INOA-PE26003-14280.pdf" TargetMode="External"/><Relationship Id="rId39" Type="http://schemas.openxmlformats.org/officeDocument/2006/relationships/hyperlink" Target="https://npr.brightspotcdn.com/36/8a/25c59b2845efa427d07671391085/sansom-hilley-v-hoar-et-al-6-29-26.pdf" TargetMode="External"/><Relationship Id="rId40" Type="http://schemas.openxmlformats.org/officeDocument/2006/relationships/hyperlink" Target="https://npr.brightspotcdn.com/79/44/3f4562a94f63948c9708a2e1f1c8/order.pdf" TargetMode="External"/><Relationship Id="rId41" Type="http://schemas.openxmlformats.org/officeDocument/2006/relationships/hyperlink" Target="https://www.sec.gov/Archives/edgar/data/1513845/000110465926027886/tm268879d1_6k.htm" TargetMode="External"/><Relationship Id="rId42" Type="http://schemas.openxmlformats.org/officeDocument/2006/relationships/hyperlink" Target="https://www.sec.gov/Archives/edgar/data/1513845/000110465926064092/nbis-20260331xex99d2.htm" TargetMode="External"/><Relationship Id="rId43" Type="http://schemas.openxmlformats.org/officeDocument/2006/relationships/hyperlink" Target="https://www.sec.gov/Archives/edgar/data/1513845/000104581026000062/xslSCHEDULE_13G_X02/primary_doc.xml" TargetMode="External"/><Relationship Id="rId44" Type="http://schemas.openxmlformats.org/officeDocument/2006/relationships/hyperlink" Target="https://www.sec.gov/Archives/edgar/data/1513845/000110465926053464/tm2613296d1_ex99-1.htm" TargetMode="External"/><Relationship Id="rId45" Type="http://schemas.openxmlformats.org/officeDocument/2006/relationships/hyperlink" Target="https://www.sec.gov/Archives/edgar/data/1513845/000110465926074352/tm2618059d1_ex99-1.htm" TargetMode="External"/><Relationship Id="rId46" Type="http://schemas.openxmlformats.org/officeDocument/2006/relationships/hyperlink" Target="https://nebius.com/newsroom/nebius-to-construct-310-mw-ai-factory-in-finland" TargetMode="External"/><Relationship Id="rId47" Type="http://schemas.openxmlformats.org/officeDocument/2006/relationships/hyperlink" Target="https://www.sec.gov/Archives/edgar/data/1513845/000110465925110025/tm2530771-1_424b5.htm" TargetMode="External"/><Relationship Id="rId48" Type="http://schemas.openxmlformats.org/officeDocument/2006/relationships/hyperlink" Target="https://www.president.gov.ua/storage/j-files-storage/01/16/13/de5398f15e962bd79c558f6e5d0341a1_1666259793.docx" TargetMode="External"/><Relationship Id="rId49" Type="http://schemas.openxmlformats.org/officeDocument/2006/relationships/hyperlink" Target="https://www.opensanctions.org/entities/Q4123823/" TargetMode="External"/><Relationship Id="rId50" Type="http://schemas.openxmlformats.org/officeDocument/2006/relationships/hyperlink" Target="https://www.sec.gov/Archives/edgar/data/1513845/000151384526000080/xslF345X06/form4.xml" TargetMode="External"/><Relationship Id="rId51" Type="http://schemas.openxmlformats.org/officeDocument/2006/relationships/hyperlink" Target="https://www.sec.gov/Archives/edgar/data/1513845/000151384526000078/xslF345X03/form4.xml" TargetMode="External"/><Relationship Id="rId52" Type="http://schemas.openxmlformats.org/officeDocument/2006/relationships/hyperlink" Target="https://www.sec.gov/Archives/edgar/data/1513845/000151384526000064/xslF345X05/form4.xml" TargetMode="External"/><Relationship Id="rId53" Type="http://schemas.openxmlformats.org/officeDocument/2006/relationships/hyperlink" Target="https://www.sec.gov/Archives/edgar/data/1513845/000197337926000172/xsl144X01/primary_doc.xml" TargetMode="External"/><Relationship Id="rId54" Type="http://schemas.openxmlformats.org/officeDocument/2006/relationships/hyperlink" Target="https://www.quiverquant.com/news/%24NBIS%2Bstock%2Bis%2Bdown%2B15%25%2Btoday.%2BHere%27s%2Bwhat%2Bwe%2Bsee%2Bin%2Bour%2Bdata." TargetMode="External"/><Relationship Id="rId55" Type="http://schemas.openxmlformats.org/officeDocument/2006/relationships/hyperlink" Target="https://www.sec.gov/Archives/edgar/data/1513845/000151384526000045/xslF345X03/form4.x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Arkady Volozh, Yandex, Nebius and Toloka — Comprehensive Evidence Pack</dc:title>
  <dc:subject>Compliance, sanctions, governance, financial crime and reputational risk</dc:subject>
  <dc:creator>OpenAI — prepared for Jules DM</dc:creator>
  <cp:keywords>Arkady Volozh; Yandex; Nebius; Toloka; compliance; sanctions; EDD</cp:keywords>
  <dc:description>Open-source review dated 27 July 2026.</dc:description>
  <cp:lastModifiedBy/>
  <cp:revision>1</cp:revision>
  <dcterms:created xsi:type="dcterms:W3CDTF">2013-12-23T23:15:00Z</dcterms:created>
  <dcterms:modified xsi:type="dcterms:W3CDTF">2013-12-23T23:15:00Z</dcterms:modified>
  <cp:category/>
</cp:coreProperties>
</file>