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CCNA Networking Notes</w:t>
      </w:r>
    </w:p>
    <w:p>
      <w:pPr>
        <w:spacing w:after="300"/>
        <w:jc w:val="center"/>
      </w:pPr>
      <w:r>
        <w:rPr>
          <w:i/>
          <w:iCs/>
          <w:color w:val="555555"/>
          <w:sz w:val="24"/>
          <w:szCs w:val="24"/>
        </w:rPr>
        <w:t xml:space="preserve">Port Security on Cisco Switches</w:t>
      </w:r>
    </w:p>
    <w:p>
      <w:pPr>
        <w:pBdr>
          <w:bottom w:val="single" w:color="AAAAAA" w:sz="6" w:space="1"/>
        </w:pBdr>
        <w:spacing w:after="200"/>
      </w:pPr>
    </w:p>
    <w:p>
      <w:pPr>
        <w:pStyle w:val="Heading1"/>
        <w:spacing w:after="150" w:before="300"/>
      </w:pPr>
      <w:r>
        <w:t xml:space="preserve">1. Introduction to Port Security</w:t>
      </w:r>
    </w:p>
    <w:tbl>
      <w:tblPr>
        <w:tblW w:type="dxa" w:w="9350"/>
        <w:tblBorders>
          <w:top w:val="single" w:color="4472C4" w:sz="4"/>
          <w:left w:val="single" w:color="4472C4" w:sz="4"/>
          <w:bottom w:val="single" w:color="4472C4" w:sz="4"/>
          <w:right w:val="single" w:color="4472C4" w:sz="4"/>
          <w:insideH w:val="none"/>
          <w:insideV w:val="none"/>
        </w:tblBorders>
      </w:tblPr>
      <w:tblGrid>
        <w:gridCol w:w="9350"/>
      </w:tblGrid>
      <w:tr>
        <w:tc>
          <w:tcPr>
            <w:tcW w:type="dxa" w:w="9350"/>
            <w:shd w:fill="EAF1FB" w:val="clear"/>
            <w:tcMar>
              <w:top w:type="dxa" w:w="150"/>
              <w:left w:type="dxa" w:w="200"/>
              <w:bottom w:type="dxa" w:w="150"/>
              <w:right w:type="dxa" w:w="200"/>
            </w:tcMar>
          </w:tcPr>
          <w:p>
            <w:pPr>
              <w:spacing w:after="60"/>
            </w:pPr>
            <w:r>
              <w:rPr>
                <w:i/>
                <w:iCs/>
                <w:sz w:val="21"/>
                <w:szCs w:val="21"/>
              </w:rPr>
              <w:t xml:space="preserve">Port security is a security feature on Cisco switches that lets you control which source MAC addresses are allowed on a switch port, and how many MAC addresses are allowed on that port.</w:t>
            </w:r>
          </w:p>
          <w:p>
            <w:pPr>
              <w:spacing w:after="0"/>
            </w:pPr>
            <w:r>
              <w:rPr>
                <w:i/>
                <w:iCs/>
                <w:sz w:val="21"/>
                <w:szCs w:val="21"/>
              </w:rPr>
              <w:t xml:space="preserve">It is configured on a per-interface basis.</w:t>
            </w:r>
          </w:p>
        </w:tc>
      </w:tr>
    </w:tbl>
    <w:p>
      <w:pPr>
        <w:spacing w:after="100"/>
      </w:pPr>
    </w:p>
    <w:p>
      <w:pPr>
        <w:spacing w:after="100"/>
      </w:pPr>
      <w:r>
        <w:t xml:space="preserve">If a frame with an unauthorized source MAC address enters the port, an action is taken. Several actions can be configured, but the default action is to place the interface into an err-disable state.</w:t>
      </w:r>
    </w:p>
    <w:p>
      <w:pPr>
        <w:pStyle w:val="Heading2"/>
        <w:spacing w:after="100" w:before="240"/>
      </w:pPr>
      <w:r>
        <w:t xml:space="preserve">Worked Example</w:t>
      </w:r>
    </w:p>
    <w:p>
      <w:pPr>
        <w:pStyle w:val="ListParagraph"/>
        <w:numPr>
          <w:ilvl w:val="0"/>
          <w:numId w:val="2"/>
        </w:numPr>
        <w:spacing w:after="60"/>
      </w:pPr>
      <w:r>
        <w:t xml:space="preserve">Two laptops (MAC AAA and MAC BBB) are directly connected to switch interfaces, and the switch connects up to a router.</w:t>
      </w:r>
    </w:p>
    <w:p>
      <w:pPr>
        <w:pStyle w:val="ListParagraph"/>
        <w:numPr>
          <w:ilvl w:val="0"/>
          <w:numId w:val="2"/>
        </w:numPr>
        <w:spacing w:after="60"/>
      </w:pPr>
      <w:r>
        <w:t xml:space="preserve">Port security can block a PC on a switch interface to keep it secure.</w:t>
      </w:r>
    </w:p>
    <w:p>
      <w:pPr>
        <w:pStyle w:val="ListParagraph"/>
        <w:numPr>
          <w:ilvl w:val="0"/>
          <w:numId w:val="2"/>
        </w:numPr>
        <w:spacing w:after="60"/>
      </w:pPr>
      <w:r>
        <w:t xml:space="preserve">By default, once the switch blocks a port it enters the err-disable state — even if other MAC addresses on that port are not the problem, the whole port goes down.</w:t>
      </w:r>
    </w:p>
    <w:p>
      <w:pPr>
        <w:pStyle w:val="ListParagraph"/>
        <w:numPr>
          <w:ilvl w:val="0"/>
          <w:numId w:val="2"/>
        </w:numPr>
        <w:spacing w:after="60"/>
      </w:pPr>
      <w:r>
        <w:t xml:space="preserve">The interface must be manually re-enabled (shut / no shut) to bring it back up.</w:t>
      </w:r>
    </w:p>
    <w:p>
      <w:pPr>
        <w:pStyle w:val="Heading2"/>
        <w:spacing w:after="100" w:before="240"/>
      </w:pPr>
      <w:r>
        <w:t xml:space="preserve">Default Behavior</w:t>
      </w:r>
    </w:p>
    <w:p>
      <w:pPr>
        <w:pStyle w:val="ListParagraph"/>
        <w:numPr>
          <w:ilvl w:val="0"/>
          <w:numId w:val="2"/>
        </w:numPr>
        <w:spacing w:after="60"/>
      </w:pPr>
      <w:r>
        <w:t xml:space="preserve">When port security is enabled with default settings, only one MAC address is allowed on the port.</w:t>
      </w:r>
    </w:p>
    <w:p>
      <w:pPr>
        <w:pStyle w:val="ListParagraph"/>
        <w:numPr>
          <w:ilvl w:val="0"/>
          <w:numId w:val="2"/>
        </w:numPr>
        <w:spacing w:after="60"/>
      </w:pPr>
      <w:r>
        <w:t xml:space="preserve">You can manually configure the allowed MAC address.</w:t>
      </w:r>
    </w:p>
    <w:p>
      <w:pPr>
        <w:pStyle w:val="ListParagraph"/>
        <w:numPr>
          <w:ilvl w:val="0"/>
          <w:numId w:val="2"/>
        </w:numPr>
        <w:spacing w:after="60"/>
      </w:pPr>
      <w:r>
        <w:t xml:space="preserve">If you don't configure it manually, the switch allows the first MAC address that enters the interface (dynamically learned).</w:t>
      </w:r>
    </w:p>
    <w:p>
      <w:pPr>
        <w:pStyle w:val="ListParagraph"/>
        <w:numPr>
          <w:ilvl w:val="0"/>
          <w:numId w:val="2"/>
        </w:numPr>
        <w:spacing w:after="60"/>
      </w:pPr>
      <w:r>
        <w:t xml:space="preserve">You can change the maximum number of MAC addresses allowed.</w:t>
      </w:r>
    </w:p>
    <w:p>
      <w:pPr>
        <w:spacing w:after="100"/>
      </w:pPr>
    </w:p>
    <w:p>
      <w:pPr>
        <w:spacing w:after="100"/>
      </w:pPr>
      <w:r>
        <w:t xml:space="preserve">Example: if the maximum number of allowed MAC addresses is set to two, and a third device sends a frame on that port, the switch will shut the interface down because the new device is not authorized.</w:t>
      </w:r>
    </w:p>
    <w:tbl>
      <w:tblPr>
        <w:tblW w:type="dxa" w:w="9350"/>
        <w:tblBorders>
          <w:top w:val="single" w:color="4472C4" w:sz="4"/>
          <w:left w:val="single" w:color="4472C4" w:sz="4"/>
          <w:bottom w:val="single" w:color="4472C4" w:sz="4"/>
          <w:right w:val="single" w:color="4472C4" w:sz="4"/>
          <w:insideH w:val="none"/>
          <w:insideV w:val="none"/>
        </w:tblBorders>
      </w:tblPr>
      <w:tblGrid>
        <w:gridCol w:w="9350"/>
      </w:tblGrid>
      <w:tr>
        <w:tc>
          <w:tcPr>
            <w:tcW w:type="dxa" w:w="9350"/>
            <w:shd w:fill="EAF1FB" w:val="clear"/>
            <w:tcMar>
              <w:top w:type="dxa" w:w="150"/>
              <w:left w:type="dxa" w:w="200"/>
              <w:bottom w:type="dxa" w:w="150"/>
              <w:right w:type="dxa" w:w="200"/>
            </w:tcMar>
          </w:tcPr>
          <w:p>
            <w:pPr>
              <w:spacing w:after="0"/>
            </w:pPr>
            <w:r>
              <w:rPr>
                <w:i/>
                <w:iCs/>
                <w:sz w:val="21"/>
                <w:szCs w:val="21"/>
              </w:rPr>
              <w:t xml:space="preserve">Key takeaways: The default number of allowed MAC addresses is one, but this can be configured to allow more. The allowed MAC address(es) can be configured manually or learned dynamically.</w:t>
            </w:r>
          </w:p>
        </w:tc>
      </w:tr>
    </w:tbl>
    <w:p>
      <w:pPr>
        <w:pStyle w:val="Heading1"/>
        <w:spacing w:after="150" w:before="300"/>
      </w:pPr>
      <w:r>
        <w:t xml:space="preserve">2. Why Use Port Security</w:t>
      </w:r>
    </w:p>
    <w:p>
      <w:pPr>
        <w:pStyle w:val="ListParagraph"/>
        <w:numPr>
          <w:ilvl w:val="0"/>
          <w:numId w:val="2"/>
        </w:numPr>
        <w:spacing w:after="60"/>
      </w:pPr>
      <w:r>
        <w:t xml:space="preserve">Port security lets a network admin control which devices are allowed to access the network — otherwise, anyone could simply plug in a device and get access through a switch port.</w:t>
      </w:r>
    </w:p>
    <w:p>
      <w:pPr>
        <w:pStyle w:val="ListParagraph"/>
        <w:numPr>
          <w:ilvl w:val="0"/>
          <w:numId w:val="2"/>
        </w:numPr>
        <w:spacing w:after="60"/>
      </w:pPr>
      <w:r>
        <w:t xml:space="preserve">MAC address spoofing is a simple task — it's easy to configure a device to send frames with a different source MAC address.</w:t>
      </w:r>
    </w:p>
    <w:p>
      <w:pPr>
        <w:pStyle w:val="ListParagraph"/>
        <w:numPr>
          <w:ilvl w:val="0"/>
          <w:numId w:val="2"/>
        </w:numPr>
        <w:spacing w:after="60"/>
      </w:pPr>
      <w:r>
        <w:t xml:space="preserve">Rather than manually specifying every allowed MAC address on each port, limiting the number of MAC addresses allowed on an interface is often more practical.</w:t>
      </w:r>
    </w:p>
    <w:p>
      <w:pPr>
        <w:pStyle w:val="ListParagraph"/>
        <w:numPr>
          <w:ilvl w:val="0"/>
          <w:numId w:val="2"/>
        </w:numPr>
        <w:spacing w:after="60"/>
      </w:pPr>
      <w:r>
        <w:t xml:space="preserve">The switch's MAC address table can also become full due to such attacks (MAC flooding).</w:t>
      </w:r>
    </w:p>
    <w:p>
      <w:pPr>
        <w:pStyle w:val="ListParagraph"/>
        <w:numPr>
          <w:ilvl w:val="0"/>
          <w:numId w:val="2"/>
        </w:numPr>
        <w:spacing w:after="60"/>
      </w:pPr>
      <w:r>
        <w:t xml:space="preserve">Limiting the number of MAC addresses on an interface helps protect against these attacks.</w:t>
      </w:r>
    </w:p>
    <w:p>
      <w:pPr>
        <w:pStyle w:val="Heading1"/>
        <w:spacing w:after="150" w:before="300"/>
      </w:pPr>
      <w:r>
        <w:t xml:space="preserve">3. Port Modes</w:t>
      </w:r>
    </w:p>
    <w:p>
      <w:pPr>
        <w:spacing w:after="100"/>
      </w:pPr>
      <w:r>
        <w:t xml:space="preserve">Port security only works on access mode or trunk mode — never on dynamic mode. Dynamic mode is enabled by default on an interface, so it must be changed to either access or trunk before port security can be used.</w:t>
      </w:r>
    </w:p>
    <w:p>
      <w:pPr>
        <w:pStyle w:val="Heading2"/>
        <w:spacing w:after="100" w:before="240"/>
      </w:pPr>
      <w:r>
        <w:t xml:space="preserve">Administrative Mode (on switch ports)</w:t>
      </w:r>
    </w:p>
    <w:p>
      <w:pPr>
        <w:spacing w:after="100"/>
      </w:pPr>
      <w:r>
        <w:t xml:space="preserve">The administrative mode is the mode the administrator configures for the port.</w:t>
      </w:r>
    </w:p>
    <w:p>
      <w:pPr>
        <w:pStyle w:val="ListParagraph"/>
        <w:numPr>
          <w:ilvl w:val="0"/>
          <w:numId w:val="2"/>
        </w:numPr>
        <w:spacing w:after="60"/>
      </w:pPr>
      <w:r>
        <w:rPr>
          <w:b/>
          <w:bCs/>
        </w:rPr>
        <w:t xml:space="preserve">switchport mode access </w:t>
      </w:r>
      <w:r>
        <w:t xml:space="preserve">→ administrative mode is access.</w:t>
      </w:r>
    </w:p>
    <w:p>
      <w:pPr>
        <w:pStyle w:val="ListParagraph"/>
        <w:numPr>
          <w:ilvl w:val="0"/>
          <w:numId w:val="2"/>
        </w:numPr>
        <w:spacing w:after="60"/>
      </w:pPr>
      <w:r>
        <w:rPr>
          <w:b/>
          <w:bCs/>
        </w:rPr>
        <w:t xml:space="preserve">switchport mode trunk </w:t>
      </w:r>
      <w:r>
        <w:t xml:space="preserve">→ administrative mode is trunk.</w:t>
      </w:r>
    </w:p>
    <w:p>
      <w:pPr>
        <w:pStyle w:val="ListParagraph"/>
        <w:numPr>
          <w:ilvl w:val="0"/>
          <w:numId w:val="2"/>
        </w:numPr>
        <w:spacing w:after="60"/>
      </w:pPr>
      <w:r>
        <w:rPr>
          <w:b/>
          <w:bCs/>
        </w:rPr>
        <w:t xml:space="preserve">switchport mode dynamic auto </w:t>
      </w:r>
      <w:r>
        <w:t xml:space="preserve">→ administrative mode is dynamic auto.</w:t>
      </w:r>
    </w:p>
    <w:p>
      <w:pPr>
        <w:spacing w:after="100"/>
      </w:pPr>
    </w:p>
    <w:p>
      <w:pPr>
        <w:spacing w:after="100"/>
      </w:pPr>
      <w:r>
        <w:t xml:space="preserve">Once port security is activated, it runs with default settings, which can be viewed using the command: show port-security [interface-name].</w:t>
      </w:r>
    </w:p>
    <w:p>
      <w:pPr>
        <w:pStyle w:val="Heading1"/>
        <w:spacing w:after="150" w:before="300"/>
      </w:pPr>
      <w:r>
        <w:t xml:space="preserve">4. Port Status</w:t>
      </w:r>
    </w:p>
    <w:p>
      <w:pPr>
        <w:spacing w:after="100"/>
      </w:pPr>
      <w:r>
        <w:t xml:space="preserve">Port status tells you whether port security is currently enabled or disabled on an interface, and what state the port is 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4472C4" w:val="clear"/>
            <w:tcMar>
              <w:top w:type="dxa" w:w="100"/>
              <w:left w:type="dxa" w:w="120"/>
              <w:bottom w:type="dxa" w:w="100"/>
              <w:right w:type="dxa" w:w="120"/>
            </w:tcMar>
          </w:tcPr>
          <w:p>
            <w:r>
              <w:rPr>
                <w:b/>
                <w:bCs/>
                <w:color w:val="FFFFFF"/>
                <w:sz w:val="21"/>
                <w:szCs w:val="21"/>
              </w:rPr>
              <w:t xml:space="preserve">Status</w:t>
            </w:r>
          </w:p>
        </w:tc>
        <w:tc>
          <w:tcPr>
            <w:tcW w:type="dxa" w:w="6550"/>
            <w:shd w:fill="4472C4" w:val="clear"/>
            <w:tcMar>
              <w:top w:type="dxa" w:w="100"/>
              <w:left w:type="dxa" w:w="120"/>
              <w:bottom w:type="dxa" w:w="100"/>
              <w:right w:type="dxa" w:w="120"/>
            </w:tcMar>
          </w:tcPr>
          <w:p>
            <w:r>
              <w:rPr>
                <w:b/>
                <w:bCs/>
                <w:color w:val="FFFFFF"/>
                <w:sz w:val="21"/>
                <w:szCs w:val="21"/>
              </w:rPr>
              <w:t xml:space="preserve">Meaning</w:t>
            </w:r>
          </w:p>
        </w:tc>
      </w:tr>
      <w:tr>
        <w:tc>
          <w:tcPr>
            <w:tcW w:type="dxa" w:w="2800"/>
            <w:tcMar>
              <w:top w:type="dxa" w:w="100"/>
              <w:left w:type="dxa" w:w="120"/>
              <w:bottom w:type="dxa" w:w="100"/>
              <w:right w:type="dxa" w:w="120"/>
            </w:tcMar>
          </w:tcPr>
          <w:p>
            <w:r>
              <w:rPr>
                <w:sz w:val="21"/>
                <w:szCs w:val="21"/>
              </w:rPr>
              <w:t xml:space="preserve">Secure-up</w:t>
            </w:r>
          </w:p>
        </w:tc>
        <w:tc>
          <w:tcPr>
            <w:tcW w:type="dxa" w:w="6550"/>
            <w:tcMar>
              <w:top w:type="dxa" w:w="100"/>
              <w:left w:type="dxa" w:w="120"/>
              <w:bottom w:type="dxa" w:w="100"/>
              <w:right w:type="dxa" w:w="120"/>
            </w:tcMar>
          </w:tcPr>
          <w:p>
            <w:r>
              <w:rPr>
                <w:sz w:val="21"/>
                <w:szCs w:val="21"/>
              </w:rPr>
              <w:t xml:space="preserve">Port security is enabled, and the port is working normally.</w:t>
            </w:r>
          </w:p>
        </w:tc>
      </w:tr>
      <w:tr>
        <w:tc>
          <w:tcPr>
            <w:tcW w:type="dxa" w:w="2800"/>
            <w:tcMar>
              <w:top w:type="dxa" w:w="100"/>
              <w:left w:type="dxa" w:w="120"/>
              <w:bottom w:type="dxa" w:w="100"/>
              <w:right w:type="dxa" w:w="120"/>
            </w:tcMar>
          </w:tcPr>
          <w:p>
            <w:r>
              <w:rPr>
                <w:sz w:val="21"/>
                <w:szCs w:val="21"/>
              </w:rPr>
              <w:t xml:space="preserve">Secure-shutdown</w:t>
            </w:r>
          </w:p>
        </w:tc>
        <w:tc>
          <w:tcPr>
            <w:tcW w:type="dxa" w:w="6550"/>
            <w:tcMar>
              <w:top w:type="dxa" w:w="100"/>
              <w:left w:type="dxa" w:w="120"/>
              <w:bottom w:type="dxa" w:w="100"/>
              <w:right w:type="dxa" w:w="120"/>
            </w:tcMar>
          </w:tcPr>
          <w:p>
            <w:r>
              <w:rPr>
                <w:sz w:val="21"/>
                <w:szCs w:val="21"/>
              </w:rPr>
              <w:t xml:space="preserve">Port security detected a violation; the port is in err-disable state (effectively turned off).</w:t>
            </w:r>
          </w:p>
        </w:tc>
      </w:tr>
      <w:tr>
        <w:tc>
          <w:tcPr>
            <w:tcW w:type="dxa" w:w="2800"/>
            <w:tcMar>
              <w:top w:type="dxa" w:w="100"/>
              <w:left w:type="dxa" w:w="120"/>
              <w:bottom w:type="dxa" w:w="100"/>
              <w:right w:type="dxa" w:w="120"/>
            </w:tcMar>
          </w:tcPr>
          <w:p>
            <w:r>
              <w:rPr>
                <w:sz w:val="21"/>
                <w:szCs w:val="21"/>
              </w:rPr>
              <w:t xml:space="preserve">Secure-down</w:t>
            </w:r>
          </w:p>
        </w:tc>
        <w:tc>
          <w:tcPr>
            <w:tcW w:type="dxa" w:w="6550"/>
            <w:tcMar>
              <w:top w:type="dxa" w:w="100"/>
              <w:left w:type="dxa" w:w="120"/>
              <w:bottom w:type="dxa" w:w="100"/>
              <w:right w:type="dxa" w:w="120"/>
            </w:tcMar>
          </w:tcPr>
          <w:p>
            <w:r>
              <w:rPr>
                <w:sz w:val="21"/>
                <w:szCs w:val="21"/>
              </w:rPr>
              <w:t xml:space="preserve">Port security is enabled, but the port itself is administratively down (shut down manually).</w:t>
            </w:r>
          </w:p>
        </w:tc>
      </w:tr>
      <w:tr>
        <w:tc>
          <w:tcPr>
            <w:tcW w:type="dxa" w:w="2800"/>
            <w:tcMar>
              <w:top w:type="dxa" w:w="100"/>
              <w:left w:type="dxa" w:w="120"/>
              <w:bottom w:type="dxa" w:w="100"/>
              <w:right w:type="dxa" w:w="120"/>
            </w:tcMar>
          </w:tcPr>
          <w:p>
            <w:r>
              <w:rPr>
                <w:sz w:val="21"/>
                <w:szCs w:val="21"/>
              </w:rPr>
              <w:t xml:space="preserve">Disabled</w:t>
            </w:r>
          </w:p>
        </w:tc>
        <w:tc>
          <w:tcPr>
            <w:tcW w:type="dxa" w:w="6550"/>
            <w:tcMar>
              <w:top w:type="dxa" w:w="100"/>
              <w:left w:type="dxa" w:w="120"/>
              <w:bottom w:type="dxa" w:w="100"/>
              <w:right w:type="dxa" w:w="120"/>
            </w:tcMar>
          </w:tcPr>
          <w:p>
            <w:r>
              <w:rPr>
                <w:sz w:val="21"/>
                <w:szCs w:val="21"/>
              </w:rPr>
              <w:t xml:space="preserve">Port security is not configured on that interface.</w:t>
            </w:r>
          </w:p>
        </w:tc>
      </w:tr>
    </w:tbl>
    <w:p>
      <w:pPr>
        <w:pStyle w:val="Heading1"/>
        <w:spacing w:after="150" w:before="300"/>
      </w:pPr>
      <w:r>
        <w:t xml:space="preserve">5. Violation Modes</w:t>
      </w:r>
    </w:p>
    <w:p>
      <w:pPr>
        <w:spacing w:after="100"/>
      </w:pPr>
      <w:r>
        <w:t xml:space="preserve">When an unauthorized MAC address tries to use a port, the switch reacts depending on the configured violation mode: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4472C4" w:val="clear"/>
            <w:tcMar>
              <w:top w:type="dxa" w:w="100"/>
              <w:left w:type="dxa" w:w="120"/>
              <w:bottom w:type="dxa" w:w="100"/>
              <w:right w:type="dxa" w:w="120"/>
            </w:tcMar>
          </w:tcPr>
          <w:p>
            <w:r>
              <w:rPr>
                <w:b/>
                <w:bCs/>
                <w:color w:val="FFFFFF"/>
                <w:sz w:val="21"/>
                <w:szCs w:val="21"/>
              </w:rPr>
              <w:t xml:space="preserve">Mode</w:t>
            </w:r>
          </w:p>
        </w:tc>
        <w:tc>
          <w:tcPr>
            <w:tcW w:type="dxa" w:w="6950"/>
            <w:shd w:fill="4472C4" w:val="clear"/>
            <w:tcMar>
              <w:top w:type="dxa" w:w="100"/>
              <w:left w:type="dxa" w:w="120"/>
              <w:bottom w:type="dxa" w:w="100"/>
              <w:right w:type="dxa" w:w="120"/>
            </w:tcMar>
          </w:tcPr>
          <w:p>
            <w:r>
              <w:rPr>
                <w:b/>
                <w:bCs/>
                <w:color w:val="FFFFFF"/>
                <w:sz w:val="21"/>
                <w:szCs w:val="21"/>
              </w:rPr>
              <w:t xml:space="preserve">Behavior</w:t>
            </w:r>
          </w:p>
        </w:tc>
      </w:tr>
      <w:tr>
        <w:tc>
          <w:tcPr>
            <w:tcW w:type="dxa" w:w="2400"/>
            <w:tcMar>
              <w:top w:type="dxa" w:w="100"/>
              <w:left w:type="dxa" w:w="120"/>
              <w:bottom w:type="dxa" w:w="100"/>
              <w:right w:type="dxa" w:w="120"/>
            </w:tcMar>
          </w:tcPr>
          <w:p>
            <w:r>
              <w:rPr>
                <w:sz w:val="21"/>
                <w:szCs w:val="21"/>
              </w:rPr>
              <w:t xml:space="preserve">Protect</w:t>
            </w:r>
          </w:p>
        </w:tc>
        <w:tc>
          <w:tcPr>
            <w:tcW w:type="dxa" w:w="6950"/>
            <w:tcMar>
              <w:top w:type="dxa" w:w="100"/>
              <w:left w:type="dxa" w:w="120"/>
              <w:bottom w:type="dxa" w:w="100"/>
              <w:right w:type="dxa" w:w="120"/>
            </w:tcMar>
          </w:tcPr>
          <w:p>
            <w:r>
              <w:rPr>
                <w:sz w:val="21"/>
                <w:szCs w:val="21"/>
              </w:rPr>
              <w:t xml:space="preserve">Drops the frame silently. No log, no alert. Port stays up. Least strict.</w:t>
            </w:r>
          </w:p>
        </w:tc>
      </w:tr>
      <w:tr>
        <w:tc>
          <w:tcPr>
            <w:tcW w:type="dxa" w:w="2400"/>
            <w:tcMar>
              <w:top w:type="dxa" w:w="100"/>
              <w:left w:type="dxa" w:w="120"/>
              <w:bottom w:type="dxa" w:w="100"/>
              <w:right w:type="dxa" w:w="120"/>
            </w:tcMar>
          </w:tcPr>
          <w:p>
            <w:r>
              <w:rPr>
                <w:sz w:val="21"/>
                <w:szCs w:val="21"/>
              </w:rPr>
              <w:t xml:space="preserve">Restrict</w:t>
            </w:r>
          </w:p>
        </w:tc>
        <w:tc>
          <w:tcPr>
            <w:tcW w:type="dxa" w:w="6950"/>
            <w:tcMar>
              <w:top w:type="dxa" w:w="100"/>
              <w:left w:type="dxa" w:w="120"/>
              <w:bottom w:type="dxa" w:w="100"/>
              <w:right w:type="dxa" w:w="120"/>
            </w:tcMar>
          </w:tcPr>
          <w:p>
            <w:r>
              <w:rPr>
                <w:sz w:val="21"/>
                <w:szCs w:val="21"/>
              </w:rPr>
              <w:t xml:space="preserve">Drops the frame, sends a log message (syslog/SNMP trap), and increments the violation counter. Port stays up.</w:t>
            </w:r>
          </w:p>
        </w:tc>
      </w:tr>
      <w:tr>
        <w:tc>
          <w:tcPr>
            <w:tcW w:type="dxa" w:w="2400"/>
            <w:tcMar>
              <w:top w:type="dxa" w:w="100"/>
              <w:left w:type="dxa" w:w="120"/>
              <w:bottom w:type="dxa" w:w="100"/>
              <w:right w:type="dxa" w:w="120"/>
            </w:tcMar>
          </w:tcPr>
          <w:p>
            <w:r>
              <w:rPr>
                <w:sz w:val="21"/>
                <w:szCs w:val="21"/>
              </w:rPr>
              <w:t xml:space="preserve">Shutdown (default)</w:t>
            </w:r>
          </w:p>
        </w:tc>
        <w:tc>
          <w:tcPr>
            <w:tcW w:type="dxa" w:w="6950"/>
            <w:tcMar>
              <w:top w:type="dxa" w:w="100"/>
              <w:left w:type="dxa" w:w="120"/>
              <w:bottom w:type="dxa" w:w="100"/>
              <w:right w:type="dxa" w:w="120"/>
            </w:tcMar>
          </w:tcPr>
          <w:p>
            <w:r>
              <w:rPr>
                <w:sz w:val="21"/>
                <w:szCs w:val="21"/>
              </w:rPr>
              <w:t xml:space="preserve">Drops the frame and puts the port into err-disable state (shuts it down). Needs manual or automatic recovery. Most strict.</w:t>
            </w:r>
          </w:p>
        </w:tc>
      </w:tr>
    </w:tbl>
    <w:p>
      <w:pPr>
        <w:pStyle w:val="Heading1"/>
        <w:spacing w:after="150" w:before="300"/>
      </w:pPr>
      <w:r>
        <w:t xml:space="preserve">6. Aging Time</w:t>
      </w:r>
    </w:p>
    <w:p>
      <w:pPr>
        <w:spacing w:after="100"/>
      </w:pPr>
      <w:r>
        <w:t xml:space="preserve">Aging time controls how long a learned MAC address stays in the secure MAC table before it is removed. After the aging timer expires, the switch can "forget" that MAC and allow a new one to be learned, depending on the mode.</w:t>
      </w:r>
    </w:p>
    <w:p>
      <w:pPr>
        <w:pStyle w:val="Heading2"/>
        <w:spacing w:after="100" w:before="240"/>
      </w:pPr>
      <w:r>
        <w:t xml:space="preserve">Two Aging Types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50"/>
      </w:tblGrid>
      <w:tr>
        <w:tc>
          <w:tcPr>
            <w:tcW w:type="dxa" w:w="1900"/>
            <w:shd w:fill="4472C4" w:val="clear"/>
            <w:tcMar>
              <w:top w:type="dxa" w:w="100"/>
              <w:left w:type="dxa" w:w="120"/>
              <w:bottom w:type="dxa" w:w="100"/>
              <w:right w:type="dxa" w:w="120"/>
            </w:tcMar>
          </w:tcPr>
          <w:p>
            <w:r>
              <w:rPr>
                <w:b/>
                <w:bCs/>
                <w:color w:val="FFFFFF"/>
                <w:sz w:val="21"/>
                <w:szCs w:val="21"/>
              </w:rPr>
              <w:t xml:space="preserve">Type</w:t>
            </w:r>
          </w:p>
        </w:tc>
        <w:tc>
          <w:tcPr>
            <w:tcW w:type="dxa" w:w="3800"/>
            <w:shd w:fill="4472C4" w:val="clear"/>
            <w:tcMar>
              <w:top w:type="dxa" w:w="100"/>
              <w:left w:type="dxa" w:w="120"/>
              <w:bottom w:type="dxa" w:w="100"/>
              <w:right w:type="dxa" w:w="120"/>
            </w:tcMar>
          </w:tcPr>
          <w:p>
            <w:r>
              <w:rPr>
                <w:b/>
                <w:bCs/>
                <w:color w:val="FFFFFF"/>
                <w:sz w:val="21"/>
                <w:szCs w:val="21"/>
              </w:rPr>
              <w:t xml:space="preserve">Behavior</w:t>
            </w:r>
          </w:p>
        </w:tc>
        <w:tc>
          <w:tcPr>
            <w:tcW w:type="dxa" w:w="3650"/>
            <w:shd w:fill="4472C4" w:val="clear"/>
            <w:tcMar>
              <w:top w:type="dxa" w:w="100"/>
              <w:left w:type="dxa" w:w="120"/>
              <w:bottom w:type="dxa" w:w="100"/>
              <w:right w:type="dxa" w:w="120"/>
            </w:tcMar>
          </w:tcPr>
          <w:p>
            <w:r>
              <w:rPr>
                <w:b/>
                <w:bCs/>
                <w:color w:val="FFFFFF"/>
                <w:sz w:val="21"/>
                <w:szCs w:val="21"/>
              </w:rPr>
              <w:t xml:space="preserve">Example</w:t>
            </w:r>
          </w:p>
        </w:tc>
      </w:tr>
      <w:tr>
        <w:tc>
          <w:tcPr>
            <w:tcW w:type="dxa" w:w="1900"/>
            <w:tcMar>
              <w:top w:type="dxa" w:w="100"/>
              <w:left w:type="dxa" w:w="120"/>
              <w:bottom w:type="dxa" w:w="100"/>
              <w:right w:type="dxa" w:w="120"/>
            </w:tcMar>
          </w:tcPr>
          <w:p>
            <w:r>
              <w:rPr>
                <w:sz w:val="21"/>
                <w:szCs w:val="21"/>
              </w:rPr>
              <w:t xml:space="preserve">Absolute</w:t>
            </w:r>
          </w:p>
        </w:tc>
        <w:tc>
          <w:tcPr>
            <w:tcW w:type="dxa" w:w="3800"/>
            <w:tcMar>
              <w:top w:type="dxa" w:w="100"/>
              <w:left w:type="dxa" w:w="120"/>
              <w:bottom w:type="dxa" w:w="100"/>
              <w:right w:type="dxa" w:w="120"/>
            </w:tcMar>
          </w:tcPr>
          <w:p>
            <w:r>
              <w:rPr>
                <w:sz w:val="21"/>
                <w:szCs w:val="21"/>
              </w:rPr>
              <w:t xml:space="preserve">The MAC address is deleted once the aging timer expires, no matter if it's still active.</w:t>
            </w:r>
          </w:p>
        </w:tc>
        <w:tc>
          <w:tcPr>
            <w:tcW w:type="dxa" w:w="3650"/>
            <w:tcMar>
              <w:top w:type="dxa" w:w="100"/>
              <w:left w:type="dxa" w:w="120"/>
              <w:bottom w:type="dxa" w:w="100"/>
              <w:right w:type="dxa" w:w="120"/>
            </w:tcMar>
          </w:tcPr>
          <w:p>
            <w:r>
              <w:rPr>
                <w:sz w:val="21"/>
                <w:szCs w:val="21"/>
              </w:rPr>
              <w:t xml:space="preserve">Aging time = 5 minutes → after 5 minutes, the MAC is removed regardless of activity.</w:t>
            </w:r>
          </w:p>
        </w:tc>
      </w:tr>
      <w:tr>
        <w:tc>
          <w:tcPr>
            <w:tcW w:type="dxa" w:w="1900"/>
            <w:tcMar>
              <w:top w:type="dxa" w:w="100"/>
              <w:left w:type="dxa" w:w="120"/>
              <w:bottom w:type="dxa" w:w="100"/>
              <w:right w:type="dxa" w:w="120"/>
            </w:tcMar>
          </w:tcPr>
          <w:p>
            <w:r>
              <w:rPr>
                <w:sz w:val="21"/>
                <w:szCs w:val="21"/>
              </w:rPr>
              <w:t xml:space="preserve">Inactivity</w:t>
            </w:r>
          </w:p>
        </w:tc>
        <w:tc>
          <w:tcPr>
            <w:tcW w:type="dxa" w:w="3800"/>
            <w:tcMar>
              <w:top w:type="dxa" w:w="100"/>
              <w:left w:type="dxa" w:w="120"/>
              <w:bottom w:type="dxa" w:w="100"/>
              <w:right w:type="dxa" w:w="120"/>
            </w:tcMar>
          </w:tcPr>
          <w:p>
            <w:r>
              <w:rPr>
                <w:sz w:val="21"/>
                <w:szCs w:val="21"/>
              </w:rPr>
              <w:t xml:space="preserve">The MAC address is deleted only if it hasn't sent traffic during the aging time.</w:t>
            </w:r>
          </w:p>
        </w:tc>
        <w:tc>
          <w:tcPr>
            <w:tcW w:type="dxa" w:w="3650"/>
            <w:tcMar>
              <w:top w:type="dxa" w:w="100"/>
              <w:left w:type="dxa" w:w="120"/>
              <w:bottom w:type="dxa" w:w="100"/>
              <w:right w:type="dxa" w:w="120"/>
            </w:tcMar>
          </w:tcPr>
          <w:p>
            <w:r>
              <w:rPr>
                <w:sz w:val="21"/>
                <w:szCs w:val="21"/>
              </w:rPr>
              <w:t xml:space="preserve">Aging time = 5 minutes → if the PC is idle for 5 minutes, its MAC is removed; if it keeps sending traffic, it stays.</w:t>
            </w:r>
          </w:p>
        </w:tc>
      </w:tr>
    </w:tbl>
    <w:p>
      <w:pPr>
        <w:spacing w:after="100"/>
      </w:pPr>
    </w:p>
    <w:tbl>
      <w:tblPr>
        <w:tblW w:type="dxa" w:w="9350"/>
        <w:tblBorders>
          <w:top w:val="single" w:color="4472C4" w:sz="4"/>
          <w:left w:val="single" w:color="4472C4" w:sz="4"/>
          <w:bottom w:val="single" w:color="4472C4" w:sz="4"/>
          <w:right w:val="single" w:color="4472C4" w:sz="4"/>
          <w:insideH w:val="none"/>
          <w:insideV w:val="none"/>
        </w:tblBorders>
      </w:tblPr>
      <w:tblGrid>
        <w:gridCol w:w="9350"/>
      </w:tblGrid>
      <w:tr>
        <w:tc>
          <w:tcPr>
            <w:tcW w:type="dxa" w:w="9350"/>
            <w:shd w:fill="EAF1FB" w:val="clear"/>
            <w:tcMar>
              <w:top w:type="dxa" w:w="150"/>
              <w:left w:type="dxa" w:w="200"/>
              <w:bottom w:type="dxa" w:w="150"/>
              <w:right w:type="dxa" w:w="200"/>
            </w:tcMar>
          </w:tcPr>
          <w:p>
            <w:pPr>
              <w:spacing w:after="60"/>
            </w:pPr>
            <w:r>
              <w:rPr>
                <w:i/>
                <w:iCs/>
                <w:sz w:val="21"/>
                <w:szCs w:val="21"/>
              </w:rPr>
              <w:t xml:space="preserve">With absolute aging, a device is removed after the set time even if it's still active.</w:t>
            </w:r>
          </w:p>
          <w:p>
            <w:pPr>
              <w:spacing w:after="0"/>
            </w:pPr>
            <w:r>
              <w:rPr>
                <w:i/>
                <w:iCs/>
                <w:sz w:val="21"/>
                <w:szCs w:val="21"/>
              </w:rPr>
              <w:t xml:space="preserve">With inactivity aging, a device is removed only if it stops sending traffic.</w:t>
            </w:r>
          </w:p>
        </w:tc>
      </w:tr>
    </w:tbl>
    <w:p>
      <w:pPr>
        <w:pStyle w:val="Heading1"/>
        <w:spacing w:after="150" w:before="300"/>
      </w:pPr>
      <w:r>
        <w:t xml:space="preserve">7. Address Limits &amp; Sticky MAC Addresses</w:t>
      </w:r>
    </w:p>
    <w:p>
      <w:pPr>
        <w:pStyle w:val="ListParagraph"/>
        <w:numPr>
          <w:ilvl w:val="0"/>
          <w:numId w:val="2"/>
        </w:numPr>
        <w:spacing w:after="60"/>
      </w:pPr>
      <w:r>
        <w:t xml:space="preserve">The maximum number of addresses defines how many devices can be securely connected to a port at the same time.</w:t>
      </w:r>
    </w:p>
    <w:p>
      <w:pPr>
        <w:pStyle w:val="ListParagraph"/>
        <w:numPr>
          <w:ilvl w:val="0"/>
          <w:numId w:val="2"/>
        </w:numPr>
        <w:spacing w:after="60"/>
      </w:pPr>
      <w:r>
        <w:t xml:space="preserve">Total MAC addresses = how many secure MACs the switch has actually learned or configured on that port right now.</w:t>
      </w:r>
    </w:p>
    <w:p>
      <w:pPr>
        <w:pStyle w:val="Heading2"/>
        <w:spacing w:after="100" w:before="240"/>
      </w:pPr>
      <w:r>
        <w:t xml:space="preserve">Sticky MAC Addresses</w:t>
      </w:r>
    </w:p>
    <w:p>
      <w:pPr>
        <w:pStyle w:val="ListParagraph"/>
        <w:numPr>
          <w:ilvl w:val="0"/>
          <w:numId w:val="2"/>
        </w:numPr>
        <w:spacing w:after="60"/>
      </w:pPr>
      <w:r>
        <w:t xml:space="preserve">Normally, port security learns MAC addresses temporarily — they disappear if the switch reloads.</w:t>
      </w:r>
    </w:p>
    <w:p>
      <w:pPr>
        <w:pStyle w:val="ListParagraph"/>
        <w:numPr>
          <w:ilvl w:val="0"/>
          <w:numId w:val="2"/>
        </w:numPr>
        <w:spacing w:after="60"/>
      </w:pPr>
      <w:r>
        <w:t xml:space="preserve">With sticky MAC, the switch saves the learned MAC addresses into the running configuration.</w:t>
      </w:r>
    </w:p>
    <w:p>
      <w:pPr>
        <w:pStyle w:val="ListParagraph"/>
        <w:numPr>
          <w:ilvl w:val="0"/>
          <w:numId w:val="2"/>
        </w:numPr>
        <w:spacing w:after="60"/>
      </w:pPr>
      <w:r>
        <w:t xml:space="preserve">This means the MACs stay even after a reload, unless the configuration is erased.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2026-09-06T15:19:07.481Z</dcterms:created>
  <dcterms:modified xsi:type="dcterms:W3CDTF">2026-09-06T15:19:07.498Z</dcterms:modified>
</cp:coreProperties>
</file>

<file path=docProps/custom.xml><?xml version="1.0" encoding="utf-8"?>
<Properties xmlns="http://schemas.openxmlformats.org/officeDocument/2006/custom-properties" xmlns:vt="http://schemas.openxmlformats.org/officeDocument/2006/docPropsVTypes"/>
</file>