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Subnetting Notes</w:t>
      </w:r>
    </w:p>
    <w:p>
      <w:pPr>
        <w:spacing w:after="150"/>
      </w:pPr>
      <w:r>
        <w:t xml:space="preserve">A summary of core subnetting concepts: CIDR, address classes, special prefixes, subnet/host calculations, and Fixed-Length Subnetting (FLSM) vs. VLSM.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</w:pPr>
      <w:r>
        <w:t xml:space="preserve">CIDR (Classless Inter-Domain Routing)</w:t>
      </w:r>
    </w:p>
    <w:p>
      <w:pPr>
        <w:spacing w:after="150"/>
      </w:pPr>
      <w:r>
        <w:t xml:space="preserve">An IPv4 address is 32 bits, split into four octets (groups of 8 bits).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First Octet (binary)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First Octet Range (decimal)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A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/8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0xxxxxxx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0 – 127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 xml:space="preserve">B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/16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10xxxxxx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128 – 191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C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/24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110xxxxx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192 – 223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 xml:space="preserve">D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—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1110xxxx</w:t>
            </w:r>
          </w:p>
        </w:tc>
        <w:tc>
          <w:tcPr>
            <w:tcW w:type="dxa" w:w="2340"/>
            <w:shd w:fill="F2F2F2" w:val="clear"/>
          </w:tcPr>
          <w:p>
            <w:r>
              <w:t xml:space="preserve">224 – 239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 xml:space="preserve">E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—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1111xxxx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240 – 255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Example (Class B): the first two bits are fixed, leaving 14 bits for the network portion → 2¹⁴ = 16,384 possible networks, and 16 bits for hosts.</w:t>
      </w:r>
    </w:p>
    <w:p>
      <w:pPr>
        <w:spacing w:after="150"/>
      </w:pPr>
      <w:r>
        <w:t xml:space="preserve">Who assigns address blocks? The IANA (Internet Assigned Numbers Authority), a non-profit, assigns IPv4 networks to companies/organizations based on their size. Large companies may get a Class A or B network; smaller companies typically get a Class C network.</w:t>
      </w:r>
    </w:p>
    <w:p>
      <w:pPr>
        <w:pStyle w:val="Heading1"/>
      </w:pPr>
      <w:r>
        <w:t xml:space="preserve">Special Prefix Lengths</w:t>
      </w:r>
    </w:p>
    <w:p>
      <w:pPr>
        <w:pStyle w:val="ListParagraph"/>
        <w:numPr>
          <w:ilvl w:val="0"/>
          <w:numId w:val="2"/>
        </w:numPr>
      </w:pPr>
      <w:r>
        <w:t xml:space="preserve">/30 — 2 host bits → 4 total addresses (2 usable). The other 2 addresses are the network address and broadcast address, so on a point-to-point link (e.g., R1–R2) 2 addresses go unused by hosts.</w:t>
      </w:r>
    </w:p>
    <w:p>
      <w:pPr>
        <w:pStyle w:val="ListParagraph"/>
        <w:numPr>
          <w:ilvl w:val="0"/>
          <w:numId w:val="2"/>
        </w:numPr>
      </w:pPr>
      <w:r>
        <w:t xml:space="preserve">/31 — mask 255.255.255.254. Only 1 host bit, so by the standard formula (2¹ − 2 = 0) there are 0 usable addresses. Normally unusable, but it is a special-case exception used specifically for point-to-point links, where the usual rule is broken.</w:t>
      </w:r>
    </w:p>
    <w:p>
      <w:pPr>
        <w:pStyle w:val="ListParagraph"/>
        <w:numPr>
          <w:ilvl w:val="0"/>
          <w:numId w:val="2"/>
        </w:numPr>
      </w:pPr>
      <w:r>
        <w:t xml:space="preserve">/32 — mask 255.255.255.255. The entire address is the network portion (host formula gives -1, i.e. it doesn't apply). Never used to configure a network or interface — instead it's used to create a static route to one specific host.</w:t>
      </w:r>
    </w:p>
    <w:p>
      <w:pPr>
        <w:spacing w:after="100"/>
      </w:pPr>
    </w:p>
    <w:p>
      <w:pPr>
        <w:pStyle w:val="Heading1"/>
      </w:pPr>
      <w:r>
        <w:t xml:space="preserve">Subnetting Formulas</w:t>
      </w:r>
    </w:p>
    <w:p>
      <w:pPr>
        <w:pStyle w:val="ListParagraph"/>
        <w:numPr>
          <w:ilvl w:val="0"/>
          <w:numId w:val="2"/>
        </w:numPr>
      </w:pPr>
      <w:r>
        <w:t xml:space="preserve">Number of subnets = 2ⁿ, where n = number of borrowed bits</w:t>
      </w:r>
    </w:p>
    <w:p>
      <w:pPr>
        <w:pStyle w:val="ListParagraph"/>
        <w:numPr>
          <w:ilvl w:val="0"/>
          <w:numId w:val="2"/>
        </w:numPr>
      </w:pPr>
      <w:r>
        <w:t xml:space="preserve">Number of usable hosts = 2ⁿ − 2, where n = number of remaining host bits</w:t>
      </w:r>
    </w:p>
    <w:p>
      <w:pPr>
        <w:spacing w:after="150"/>
      </w:pPr>
      <w:r>
        <w:t xml:space="preserve">When subnetting, always ask: does the number of hosts I need allow me to divide this network the way I want, and what class is the original network in?</w:t>
      </w:r>
    </w:p>
    <w:p>
      <w:pPr>
        <w:pStyle w:val="Heading1"/>
      </w:pPr>
      <w:r>
        <w:t xml:space="preserve">How to Identify a Subnet</w:t>
      </w:r>
    </w:p>
    <w:p>
      <w:pPr>
        <w:pStyle w:val="Heading2"/>
      </w:pPr>
      <w:r>
        <w:t xml:space="preserve">Example 1: What subnet does host 192.168.5.57/27 belong to?</w:t>
      </w:r>
    </w:p>
    <w:p>
      <w:pPr>
        <w:pStyle w:val="ListParagraph"/>
        <w:numPr>
          <w:ilvl w:val="0"/>
          <w:numId w:val="2"/>
        </w:numPr>
      </w:pPr>
      <w:r>
        <w:t xml:space="preserve">Convert to binary: 11000000.10101000.00000101.00111001</w:t>
      </w:r>
    </w:p>
    <w:p>
      <w:pPr>
        <w:pStyle w:val="ListParagraph"/>
        <w:numPr>
          <w:ilvl w:val="0"/>
          <w:numId w:val="2"/>
        </w:numPr>
      </w:pPr>
      <w:r>
        <w:t xml:space="preserve">/27 means 3 bits are borrowed from the last octet. Zero out the remaining host bits: 11000000.10101000.00000101.00100000 → 192.168.5.32</w:t>
      </w:r>
    </w:p>
    <w:p>
      <w:pPr>
        <w:pStyle w:val="ListParagraph"/>
        <w:numPr>
          <w:ilvl w:val="0"/>
          <w:numId w:val="2"/>
        </w:numPr>
      </w:pPr>
      <w:r>
        <w:t xml:space="preserve">Answer: the host belongs to subnet 192.168.5.32</w:t>
      </w:r>
    </w:p>
    <w:p>
      <w:pPr>
        <w:pStyle w:val="Heading2"/>
      </w:pPr>
      <w:r>
        <w:t xml:space="preserve">Example 2: What subnet does host 192.168.29.219/29 belong to?</w:t>
      </w:r>
    </w:p>
    <w:p>
      <w:pPr>
        <w:pStyle w:val="ListParagraph"/>
        <w:numPr>
          <w:ilvl w:val="0"/>
          <w:numId w:val="2"/>
        </w:numPr>
      </w:pPr>
      <w:r>
        <w:t xml:space="preserve">Convert to binary: 11000000.10101000.00011101.11011011</w:t>
      </w:r>
    </w:p>
    <w:p>
      <w:pPr>
        <w:pStyle w:val="ListParagraph"/>
        <w:numPr>
          <w:ilvl w:val="0"/>
          <w:numId w:val="2"/>
        </w:numPr>
      </w:pPr>
      <w:r>
        <w:t xml:space="preserve">Apply the same method as Example 1 (zero out the host bits based on the /29 mask) to find the subnet.</w:t>
      </w:r>
    </w:p>
    <w:p>
      <w:pPr>
        <w:pStyle w:val="Heading1"/>
      </w:pPr>
      <w:r>
        <w:t xml:space="preserve">Fixed-Length Subnetting (FLSM) vs. VLSM</w:t>
      </w:r>
    </w:p>
    <w:p>
      <w:pPr>
        <w:spacing w:after="150"/>
      </w:pPr>
      <w:r>
        <w:t xml:space="preserve">When you subnet a network, you can split it up in two different ways.</w:t>
      </w:r>
    </w:p>
    <w:p>
      <w:pPr>
        <w:pStyle w:val="Heading2"/>
      </w:pPr>
      <w:r>
        <w:t xml:space="preserve">Fixed-Length Subnetting (FLSM)</w:t>
      </w:r>
    </w:p>
    <w:p>
      <w:pPr>
        <w:pStyle w:val="ListParagraph"/>
        <w:numPr>
          <w:ilvl w:val="0"/>
          <w:numId w:val="2"/>
        </w:numPr>
      </w:pPr>
      <w:r>
        <w:t xml:space="preserve">Every subnet created from the network is the same size — you borrow a fixed number of bits once and apply it everywhere.</w:t>
      </w:r>
    </w:p>
    <w:p>
      <w:pPr>
        <w:pStyle w:val="ListParagraph"/>
        <w:numPr>
          <w:ilvl w:val="0"/>
          <w:numId w:val="2"/>
        </w:numPr>
      </w:pPr>
      <w:r>
        <w:t xml:space="preserve">Simple to plan and calculate, but often wastes addresses: a point-to-point link that only needs 2 usable addresses still gets the same size subnet as a LAN that needs 50 hosts.</w:t>
      </w:r>
    </w:p>
    <w:p>
      <w:pPr>
        <w:pStyle w:val="ListParagraph"/>
        <w:numPr>
          <w:ilvl w:val="0"/>
          <w:numId w:val="2"/>
        </w:numPr>
      </w:pPr>
      <w:r>
        <w:t xml:space="preserve">Good for networks where all subnets genuinely need a similar number of hosts.</w:t>
      </w:r>
    </w:p>
    <w:p>
      <w:pPr>
        <w:spacing w:after="150"/>
      </w:pPr>
      <w:r>
        <w:t xml:space="preserve">Example: Given 192.168.1.0/24 and a need for 4 subnets, you borrow 2 bits to make four equally-sized /26 subnets (each with 62 usable hosts) — even if some of those subnets only need a handful of addresses.</w:t>
      </w:r>
    </w:p>
    <w:p>
      <w:pPr>
        <w:pStyle w:val="Heading2"/>
      </w:pPr>
      <w:r>
        <w:t xml:space="preserve">VLSM (Variable-Length Subnet Masking)</w:t>
      </w:r>
    </w:p>
    <w:p>
      <w:pPr>
        <w:pStyle w:val="ListParagraph"/>
        <w:numPr>
          <w:ilvl w:val="0"/>
          <w:numId w:val="2"/>
        </w:numPr>
      </w:pPr>
      <w:r>
        <w:t xml:space="preserve">Lets you subnet a network into different-sized subnets, each sized to match how many hosts it actually needs.</w:t>
      </w:r>
    </w:p>
    <w:p>
      <w:pPr>
        <w:pStyle w:val="ListParagraph"/>
        <w:numPr>
          <w:ilvl w:val="0"/>
          <w:numId w:val="2"/>
        </w:numPr>
      </w:pPr>
      <w:r>
        <w:t xml:space="preserve">Far more efficient — little to no address waste — but requires more careful planning, since each subnet's range must be calculated in sequence and must not overlap with the others.</w:t>
      </w:r>
    </w:p>
    <w:p>
      <w:pPr>
        <w:pStyle w:val="ListParagraph"/>
        <w:numPr>
          <w:ilvl w:val="0"/>
          <w:numId w:val="2"/>
        </w:numPr>
      </w:pPr>
      <w:r>
        <w:t xml:space="preserve">The standard real-world approach for enterprise/ISP networks, and for point-to-point links (often sized as /30 or /31).</w:t>
      </w:r>
    </w:p>
    <w:p>
      <w:pPr>
        <w:spacing w:after="150"/>
      </w:pPr>
      <w:r>
        <w:t xml:space="preserve">How to design with VLSM:</w:t>
      </w:r>
    </w:p>
    <w:p>
      <w:pPr>
        <w:pStyle w:val="ListParagraph"/>
        <w:numPr>
          <w:ilvl w:val="0"/>
          <w:numId w:val="2"/>
        </w:numPr>
      </w:pPr>
      <w:r>
        <w:t xml:space="preserve">List all required subnets and sort them from largest host requirement to smallest. Always allocate the biggest subnet first.</w:t>
      </w:r>
    </w:p>
    <w:p>
      <w:pPr>
        <w:pStyle w:val="ListParagraph"/>
        <w:numPr>
          <w:ilvl w:val="0"/>
          <w:numId w:val="2"/>
        </w:numPr>
      </w:pPr>
      <w:r>
        <w:t xml:space="preserve">For each subnet, determine the smallest prefix length that satisfies 2ⁿ − 2 ≥ required hosts (n = host bits).</w:t>
      </w:r>
    </w:p>
    <w:p>
      <w:pPr>
        <w:pStyle w:val="ListParagraph"/>
        <w:numPr>
          <w:ilvl w:val="0"/>
          <w:numId w:val="2"/>
        </w:numPr>
      </w:pPr>
      <w:r>
        <w:t xml:space="preserve">Assign that subnet the next available block of addresses from the pool, then move the "next available address" pointer past it.</w:t>
      </w:r>
    </w:p>
    <w:p>
      <w:pPr>
        <w:pStyle w:val="ListParagraph"/>
        <w:numPr>
          <w:ilvl w:val="0"/>
          <w:numId w:val="2"/>
        </w:numPr>
      </w:pPr>
      <w:r>
        <w:t xml:space="preserve">Repeat for the next-largest requirement, continuing until all subnets are assigned.</w:t>
      </w:r>
    </w:p>
    <w:p>
      <w:pPr>
        <w:spacing w:after="100"/>
      </w:pPr>
    </w:p>
    <w:p>
      <w:pPr>
        <w:spacing w:after="150"/>
      </w:pPr>
      <w:r>
        <w:t xml:space="preserve">Example: Given 192.168.1.0/24 with three needed subnets — 100 hosts, 50 hosts, and a point-to-point link (2 hosts):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Subnet</w:t>
            </w:r>
          </w:p>
        </w:tc>
        <w:tc>
          <w:tcPr>
            <w:tcW w:type="dxa" w:w="187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Hosts Needed</w:t>
            </w:r>
          </w:p>
        </w:tc>
        <w:tc>
          <w:tcPr>
            <w:tcW w:type="dxa" w:w="187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W w:type="dxa" w:w="187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Usable Hosts</w:t>
            </w:r>
          </w:p>
        </w:tc>
        <w:tc>
          <w:tcPr>
            <w:tcW w:type="dxa" w:w="1872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Address Range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 xml:space="preserve">A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100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/25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126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192.168.1.0 – 192.168.1.127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 xml:space="preserve">B</w:t>
            </w:r>
          </w:p>
        </w:tc>
        <w:tc>
          <w:tcPr>
            <w:tcW w:type="dxa" w:w="1872"/>
            <w:shd w:fill="F2F2F2" w:val="clear"/>
          </w:tcPr>
          <w:p>
            <w:r>
              <w:t xml:space="preserve">50</w:t>
            </w:r>
          </w:p>
        </w:tc>
        <w:tc>
          <w:tcPr>
            <w:tcW w:type="dxa" w:w="1872"/>
            <w:shd w:fill="F2F2F2" w:val="clear"/>
          </w:tcPr>
          <w:p>
            <w:r>
              <w:t xml:space="preserve">/26</w:t>
            </w:r>
          </w:p>
        </w:tc>
        <w:tc>
          <w:tcPr>
            <w:tcW w:type="dxa" w:w="1872"/>
            <w:shd w:fill="F2F2F2" w:val="clear"/>
          </w:tcPr>
          <w:p>
            <w:r>
              <w:t xml:space="preserve">62</w:t>
            </w:r>
          </w:p>
        </w:tc>
        <w:tc>
          <w:tcPr>
            <w:tcW w:type="dxa" w:w="1872"/>
            <w:shd w:fill="F2F2F2" w:val="clear"/>
          </w:tcPr>
          <w:p>
            <w:r>
              <w:t xml:space="preserve">192.168.1.128 – 192.168.1.191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 xml:space="preserve">C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2 (P2P)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/30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2</w:t>
            </w:r>
          </w:p>
        </w:tc>
        <w:tc>
          <w:tcPr>
            <w:tcW w:type="dxa" w:w="1872"/>
            <w:shd w:fill="FFFFFF" w:val="clear"/>
          </w:tcPr>
          <w:p>
            <w:r>
              <w:t xml:space="preserve">192.168.1.192 – 192.168.1.195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Notice the largest subnet is allocated first (starting at the beginning of the block), and each subsequent subnet starts right after the previous one ends — this is what keeps VLSM address-efficient and non-overlapping.</w:t>
      </w:r>
    </w:p>
    <w:p>
      <w:pPr>
        <w:pStyle w:val="Heading2"/>
      </w:pPr>
      <w:r>
        <w:t xml:space="preserve">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Fixed-Length (FLSM)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VLSM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 xml:space="preserve">Subnet sizes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All equal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Vary per need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Address efficiency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Lower (wastes addresses)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Higher (minimal waste)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 xml:space="preserve">Planning complexity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Simple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Requires careful sequential allocation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 xml:space="preserve">Typical use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Simple/uniform networks</w:t>
            </w:r>
          </w:p>
        </w:tc>
        <w:tc>
          <w:tcPr>
            <w:tcW w:type="dxa" w:w="3120"/>
            <w:shd w:fill="F2F2F2" w:val="clear"/>
          </w:tcPr>
          <w:p>
            <w:r>
              <w:t xml:space="preserve">Enterprise networks, WAN links, real-world designs</w:t>
            </w:r>
          </w:p>
        </w:tc>
      </w:tr>
    </w:tbl>
    <w:p>
      <w:pPr>
        <w:pBdr>
          <w:bottom w:val="single" w:color="999999" w:sz="6"/>
        </w:pBdr>
        <w:spacing w:after="200"/>
      </w:pPr>
    </w:p>
    <w:p>
      <w:r>
        <w:rPr>
          <w:i/>
          <w:iCs/>
        </w:rPr>
        <w:t xml:space="preserve">Converted from personal study notes — CIDR, prefix lengths, subnet identification, and FLSM vs. VLSM.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2026-08-17T18:30:51.788Z</dcterms:created>
  <dcterms:modified xsi:type="dcterms:W3CDTF">2026-08-17T18:30:51.801Z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